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5E6" w:rsidRDefault="007354C6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  <w:bookmarkStart w:id="0" w:name="_GoBack"/>
      <w:bookmarkEnd w:id="0"/>
      <w:r>
        <w:rPr>
          <w:rFonts w:ascii="Arial" w:hAnsi="Arial" w:cs="Arial"/>
          <w:b/>
          <w:color w:val="8DB3E2" w:themeColor="text2" w:themeTint="66"/>
          <w:sz w:val="24"/>
        </w:rPr>
        <w:t xml:space="preserve"> </w:t>
      </w:r>
    </w:p>
    <w:p w:rsidR="00DE163D" w:rsidRDefault="00DE163D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</w:p>
    <w:p w:rsidR="00DE163D" w:rsidRPr="003D4BC7" w:rsidRDefault="00DE163D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Inhalt</w:t>
      </w: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DE163D" w:rsidRDefault="00DE163D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Installationshinweise </w:t>
      </w:r>
    </w:p>
    <w:p w:rsidR="00DE163D" w:rsidRDefault="00D62062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Anwendung des </w:t>
      </w:r>
      <w:r w:rsidR="00DE163D">
        <w:rPr>
          <w:rFonts w:ascii="Arial" w:hAnsi="Arial" w:cs="Arial"/>
          <w:b/>
          <w:color w:val="000000" w:themeColor="text1"/>
          <w:u w:val="single"/>
        </w:rPr>
        <w:t>Budgetkalkulationstool</w:t>
      </w:r>
      <w:r w:rsidR="00576039">
        <w:rPr>
          <w:rFonts w:ascii="Arial" w:hAnsi="Arial" w:cs="Arial"/>
          <w:b/>
          <w:color w:val="000000" w:themeColor="text1"/>
          <w:u w:val="single"/>
        </w:rPr>
        <w:t>s 2019</w:t>
      </w:r>
    </w:p>
    <w:p w:rsidR="00DE163D" w:rsidRDefault="00DE163D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Hinweise zu Intensiv-, Matrix- und </w:t>
      </w:r>
      <w:proofErr w:type="spellStart"/>
      <w:r>
        <w:rPr>
          <w:rFonts w:ascii="Arial" w:hAnsi="Arial" w:cs="Arial"/>
          <w:b/>
          <w:color w:val="000000" w:themeColor="text1"/>
          <w:u w:val="single"/>
        </w:rPr>
        <w:t>SOPtool</w:t>
      </w:r>
      <w:proofErr w:type="spellEnd"/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C54D1F" w:rsidRDefault="00C54D1F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C54D1F" w:rsidRDefault="00C54D1F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D62062" w:rsidRDefault="00AF46F6" w:rsidP="00F16F88">
      <w:pPr>
        <w:pStyle w:val="Listenabsatz"/>
        <w:ind w:left="0" w:firstLine="360"/>
        <w:rPr>
          <w:rFonts w:ascii="Arial" w:hAnsi="Arial" w:cs="Arial"/>
          <w:b/>
          <w:color w:val="000000" w:themeColor="text1"/>
          <w:u w:val="single"/>
        </w:rPr>
      </w:pPr>
      <w:r w:rsidRPr="00AF46F6">
        <w:rPr>
          <w:rFonts w:ascii="Arial" w:hAnsi="Arial" w:cs="Arial"/>
          <w:b/>
          <w:color w:val="000000" w:themeColor="text1"/>
          <w:u w:val="single"/>
        </w:rPr>
        <w:t>1. Installationshinweise</w:t>
      </w:r>
    </w:p>
    <w:p w:rsidR="00AF46F6" w:rsidRDefault="00AF46F6" w:rsidP="00DE163D">
      <w:pPr>
        <w:pStyle w:val="Listenabsatz"/>
        <w:ind w:left="1080"/>
        <w:rPr>
          <w:rFonts w:ascii="Arial" w:hAnsi="Arial" w:cs="Arial"/>
          <w:b/>
          <w:color w:val="000000" w:themeColor="text1"/>
          <w:u w:val="single"/>
        </w:rPr>
      </w:pPr>
    </w:p>
    <w:p w:rsidR="00EA0F0D" w:rsidRDefault="00AF46F6" w:rsidP="00F16F88">
      <w:pPr>
        <w:pStyle w:val="Listenabsatz"/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Die Programme liegen alle im Excel-Format vor und werden nach</w:t>
      </w:r>
      <w:r w:rsidR="00576039">
        <w:rPr>
          <w:rFonts w:ascii="Arial" w:hAnsi="Arial" w:cs="Arial"/>
          <w:color w:val="000000" w:themeColor="text1"/>
        </w:rPr>
        <w:t>dem sie die Datei „BDATools_2019</w:t>
      </w:r>
      <w:r>
        <w:rPr>
          <w:rFonts w:ascii="Arial" w:hAnsi="Arial" w:cs="Arial"/>
          <w:color w:val="000000" w:themeColor="text1"/>
        </w:rPr>
        <w:t>.zip“ lesbar gemacht haben im Zielverzeichnis Quelle abgelegt. In diesem Verzeichnis befinde</w:t>
      </w:r>
      <w:r w:rsidR="00E020DF">
        <w:rPr>
          <w:rFonts w:ascii="Arial" w:hAnsi="Arial" w:cs="Arial"/>
          <w:color w:val="000000" w:themeColor="text1"/>
        </w:rPr>
        <w:t>n</w:t>
      </w:r>
      <w:r>
        <w:rPr>
          <w:rFonts w:ascii="Arial" w:hAnsi="Arial" w:cs="Arial"/>
          <w:color w:val="000000" w:themeColor="text1"/>
        </w:rPr>
        <w:t xml:space="preserve"> sich die Startdatei „Start-BDA.xl</w:t>
      </w:r>
      <w:r w:rsidR="00576039">
        <w:rPr>
          <w:rFonts w:ascii="Arial" w:hAnsi="Arial" w:cs="Arial"/>
          <w:color w:val="000000" w:themeColor="text1"/>
        </w:rPr>
        <w:t xml:space="preserve">s“. In den </w:t>
      </w:r>
      <w:r w:rsidR="00E020DF">
        <w:rPr>
          <w:rFonts w:ascii="Arial" w:hAnsi="Arial" w:cs="Arial"/>
          <w:color w:val="000000" w:themeColor="text1"/>
        </w:rPr>
        <w:t xml:space="preserve">Unterverzeichnissen befinden sich die BDA-Tools. Bitte ändern Sie diese Verzeichnisstruktur </w:t>
      </w:r>
      <w:r w:rsidR="00E020DF" w:rsidRPr="00E020DF">
        <w:rPr>
          <w:rFonts w:ascii="Arial" w:hAnsi="Arial" w:cs="Arial"/>
          <w:color w:val="000000" w:themeColor="text1"/>
          <w:u w:val="single"/>
        </w:rPr>
        <w:t>nicht</w:t>
      </w:r>
      <w:r w:rsidR="00E020DF">
        <w:rPr>
          <w:rFonts w:ascii="Arial" w:hAnsi="Arial" w:cs="Arial"/>
          <w:color w:val="000000" w:themeColor="text1"/>
        </w:rPr>
        <w:t>, da die Datei „Start-BDA.xlsm“ auf diese Unterverzeichnisse zugreift.</w:t>
      </w:r>
    </w:p>
    <w:p w:rsidR="00E020DF" w:rsidRDefault="00E020DF" w:rsidP="00E020DF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023A9A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E5726E" w:rsidRDefault="00BF06DF" w:rsidP="00E5726E">
      <w:pPr>
        <w:pStyle w:val="Listenabsatz"/>
        <w:ind w:left="360"/>
        <w:rPr>
          <w:rFonts w:ascii="Arial" w:hAnsi="Arial" w:cs="Arial"/>
          <w:color w:val="0070C0"/>
          <w:sz w:val="18"/>
        </w:rPr>
      </w:pPr>
      <w:r>
        <w:rPr>
          <w:noProof/>
        </w:rPr>
        <w:drawing>
          <wp:inline distT="0" distB="0" distL="0" distR="0" wp14:anchorId="25825171" wp14:editId="02DD6861">
            <wp:extent cx="3156153" cy="1699146"/>
            <wp:effectExtent l="0" t="0" r="635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7935" cy="171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A9A" w:rsidRPr="00E5726E" w:rsidRDefault="00D62062" w:rsidP="00E5726E">
      <w:pPr>
        <w:pStyle w:val="Listenabsatz"/>
        <w:ind w:left="360"/>
        <w:rPr>
          <w:rFonts w:ascii="Arial" w:hAnsi="Arial" w:cs="Arial"/>
          <w:color w:val="000000" w:themeColor="text1"/>
        </w:rPr>
      </w:pPr>
      <w:r w:rsidRPr="00E5726E">
        <w:rPr>
          <w:rFonts w:ascii="Arial" w:hAnsi="Arial" w:cs="Arial"/>
          <w:color w:val="0070C0"/>
          <w:sz w:val="18"/>
        </w:rPr>
        <w:t>Abb. 3 Auswahlfenster Tools</w:t>
      </w:r>
    </w:p>
    <w:p w:rsidR="00D62062" w:rsidRPr="00D62062" w:rsidRDefault="00D62062" w:rsidP="00DE163D">
      <w:pPr>
        <w:pStyle w:val="Listenabsatz"/>
        <w:ind w:left="1080"/>
        <w:rPr>
          <w:rFonts w:ascii="Arial" w:hAnsi="Arial" w:cs="Arial"/>
          <w:color w:val="0070C0"/>
          <w:sz w:val="18"/>
        </w:rPr>
      </w:pPr>
    </w:p>
    <w:p w:rsidR="00023A9A" w:rsidRDefault="00023A9A" w:rsidP="00E5726E">
      <w:pPr>
        <w:pStyle w:val="Listenabsatz"/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Nun können alle gewünschten Excel-Programme </w:t>
      </w:r>
      <w:r w:rsidR="00322C7A">
        <w:rPr>
          <w:rFonts w:ascii="Arial" w:hAnsi="Arial" w:cs="Arial"/>
          <w:color w:val="000000" w:themeColor="text1"/>
        </w:rPr>
        <w:t xml:space="preserve">über Hyperlinks </w:t>
      </w:r>
      <w:r>
        <w:rPr>
          <w:rFonts w:ascii="Arial" w:hAnsi="Arial" w:cs="Arial"/>
          <w:color w:val="000000" w:themeColor="text1"/>
        </w:rPr>
        <w:t>angewählt werden.</w:t>
      </w:r>
      <w:r w:rsidR="003053BF">
        <w:rPr>
          <w:rFonts w:ascii="Arial" w:hAnsi="Arial" w:cs="Arial"/>
          <w:color w:val="000000" w:themeColor="text1"/>
        </w:rPr>
        <w:t xml:space="preserve"> Wenn Sie die angewählten Programme durch </w:t>
      </w:r>
      <w:r w:rsidR="00D62062">
        <w:rPr>
          <w:rFonts w:ascii="Arial" w:hAnsi="Arial" w:cs="Arial"/>
          <w:color w:val="000000" w:themeColor="text1"/>
        </w:rPr>
        <w:t>„</w:t>
      </w:r>
      <w:r w:rsidR="003053BF">
        <w:rPr>
          <w:rFonts w:ascii="Arial" w:hAnsi="Arial" w:cs="Arial"/>
          <w:color w:val="000000" w:themeColor="text1"/>
        </w:rPr>
        <w:t>schließen</w:t>
      </w:r>
      <w:r w:rsidR="00D62062">
        <w:rPr>
          <w:rFonts w:ascii="Arial" w:hAnsi="Arial" w:cs="Arial"/>
          <w:color w:val="000000" w:themeColor="text1"/>
        </w:rPr>
        <w:t>“</w:t>
      </w:r>
      <w:r w:rsidR="003053BF">
        <w:rPr>
          <w:rFonts w:ascii="Arial" w:hAnsi="Arial" w:cs="Arial"/>
          <w:color w:val="000000" w:themeColor="text1"/>
        </w:rPr>
        <w:t xml:space="preserve"> wieder beenden wollen, gelangen Sie automatisch wieder zu der obigen Oberfläche.</w:t>
      </w:r>
    </w:p>
    <w:p w:rsidR="00023A9A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023A9A" w:rsidRPr="00DE163D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DE163D" w:rsidRPr="00DE163D" w:rsidRDefault="00DE163D" w:rsidP="00DE163D">
      <w:pPr>
        <w:pStyle w:val="Listenabsatz"/>
        <w:ind w:left="1080"/>
        <w:rPr>
          <w:rFonts w:ascii="Arial" w:hAnsi="Arial" w:cs="Arial"/>
          <w:b/>
          <w:color w:val="000000" w:themeColor="text1"/>
          <w:u w:val="single"/>
        </w:rPr>
      </w:pPr>
    </w:p>
    <w:p w:rsidR="00EF55E6" w:rsidRPr="000E185B" w:rsidRDefault="00EF55E6" w:rsidP="000E185B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 w:rsidRPr="000E185B">
        <w:rPr>
          <w:rFonts w:ascii="Arial" w:hAnsi="Arial" w:cs="Arial"/>
          <w:b/>
          <w:color w:val="000000" w:themeColor="text1"/>
          <w:u w:val="single"/>
        </w:rPr>
        <w:t>Anwendung</w:t>
      </w:r>
      <w:r w:rsidR="00023A9A" w:rsidRPr="000E185B">
        <w:rPr>
          <w:rFonts w:ascii="Arial" w:hAnsi="Arial" w:cs="Arial"/>
          <w:b/>
          <w:color w:val="000000" w:themeColor="text1"/>
          <w:u w:val="single"/>
        </w:rPr>
        <w:t xml:space="preserve"> des Budg</w:t>
      </w:r>
      <w:r w:rsidR="00576039">
        <w:rPr>
          <w:rFonts w:ascii="Arial" w:hAnsi="Arial" w:cs="Arial"/>
          <w:b/>
          <w:color w:val="000000" w:themeColor="text1"/>
          <w:u w:val="single"/>
        </w:rPr>
        <w:t>etkalkulationstools 2019</w:t>
      </w:r>
    </w:p>
    <w:p w:rsidR="00AE3C56" w:rsidRDefault="00EF55E6" w:rsidP="004E43A9">
      <w:pPr>
        <w:ind w:left="360"/>
        <w:jc w:val="both"/>
        <w:rPr>
          <w:rFonts w:ascii="Arial" w:hAnsi="Arial" w:cs="Arial"/>
          <w:color w:val="000000" w:themeColor="text1"/>
        </w:rPr>
      </w:pPr>
      <w:r w:rsidRPr="003D4BC7">
        <w:rPr>
          <w:rFonts w:ascii="Arial" w:hAnsi="Arial" w:cs="Arial"/>
          <w:color w:val="000000" w:themeColor="text1"/>
        </w:rPr>
        <w:t>Das DRG Budgetkalkulationstool basiert auf den Kostendaten des DRG-Browsers, der durch das In</w:t>
      </w:r>
      <w:r w:rsidR="004D6340" w:rsidRPr="003D4BC7">
        <w:rPr>
          <w:rFonts w:ascii="Arial" w:hAnsi="Arial" w:cs="Arial"/>
          <w:color w:val="000000" w:themeColor="text1"/>
        </w:rPr>
        <w:t>stitut für Entgeltsysteme im Krankenhaus (</w:t>
      </w:r>
      <w:proofErr w:type="spellStart"/>
      <w:r w:rsidR="004D6340" w:rsidRPr="003D4BC7">
        <w:rPr>
          <w:rFonts w:ascii="Arial" w:hAnsi="Arial" w:cs="Arial"/>
          <w:color w:val="000000" w:themeColor="text1"/>
        </w:rPr>
        <w:t>In</w:t>
      </w:r>
      <w:r w:rsidRPr="003D4BC7">
        <w:rPr>
          <w:rFonts w:ascii="Arial" w:hAnsi="Arial" w:cs="Arial"/>
          <w:color w:val="000000" w:themeColor="text1"/>
        </w:rPr>
        <w:t>EK</w:t>
      </w:r>
      <w:proofErr w:type="spellEnd"/>
      <w:r w:rsidR="004D6340" w:rsidRPr="003D4BC7">
        <w:rPr>
          <w:rFonts w:ascii="Arial" w:hAnsi="Arial" w:cs="Arial"/>
          <w:color w:val="000000" w:themeColor="text1"/>
        </w:rPr>
        <w:t>)</w:t>
      </w:r>
      <w:r w:rsidR="004D6340" w:rsidRPr="003D4BC7">
        <w:rPr>
          <w:rStyle w:val="Funotenzeichen"/>
          <w:rFonts w:ascii="Arial" w:hAnsi="Arial" w:cs="Arial"/>
          <w:color w:val="000000" w:themeColor="text1"/>
        </w:rPr>
        <w:footnoteReference w:id="1"/>
      </w:r>
      <w:r w:rsidRPr="003D4BC7">
        <w:rPr>
          <w:rFonts w:ascii="Arial" w:hAnsi="Arial" w:cs="Arial"/>
          <w:color w:val="000000" w:themeColor="text1"/>
        </w:rPr>
        <w:t xml:space="preserve"> </w:t>
      </w:r>
      <w:r w:rsidR="001F71EC" w:rsidRPr="003D4BC7">
        <w:rPr>
          <w:rFonts w:ascii="Arial" w:hAnsi="Arial" w:cs="Arial"/>
          <w:color w:val="000000" w:themeColor="text1"/>
        </w:rPr>
        <w:t xml:space="preserve">veröffentlicht </w:t>
      </w:r>
      <w:r w:rsidRPr="003D4BC7">
        <w:rPr>
          <w:rFonts w:ascii="Arial" w:hAnsi="Arial" w:cs="Arial"/>
          <w:color w:val="000000" w:themeColor="text1"/>
        </w:rPr>
        <w:t>wird.</w:t>
      </w:r>
      <w:r w:rsidR="00DC2B44" w:rsidRPr="003D4BC7">
        <w:rPr>
          <w:rFonts w:ascii="Arial" w:hAnsi="Arial" w:cs="Arial"/>
          <w:color w:val="000000" w:themeColor="text1"/>
        </w:rPr>
        <w:t xml:space="preserve"> Die herangezogenen Li</w:t>
      </w:r>
      <w:r w:rsidR="006C17FA">
        <w:rPr>
          <w:rFonts w:ascii="Arial" w:hAnsi="Arial" w:cs="Arial"/>
          <w:color w:val="000000" w:themeColor="text1"/>
        </w:rPr>
        <w:t xml:space="preserve">sten bewerteter und </w:t>
      </w:r>
      <w:proofErr w:type="spellStart"/>
      <w:r w:rsidR="006C17FA">
        <w:rPr>
          <w:rFonts w:ascii="Arial" w:hAnsi="Arial" w:cs="Arial"/>
          <w:color w:val="000000" w:themeColor="text1"/>
        </w:rPr>
        <w:t>unbewerteter</w:t>
      </w:r>
      <w:proofErr w:type="spellEnd"/>
      <w:r w:rsidR="00DC2B44" w:rsidRPr="003D4BC7">
        <w:rPr>
          <w:rFonts w:ascii="Arial" w:hAnsi="Arial" w:cs="Arial"/>
          <w:color w:val="000000" w:themeColor="text1"/>
        </w:rPr>
        <w:t xml:space="preserve"> Zusatzentgelte </w:t>
      </w:r>
      <w:r w:rsidR="003670BA" w:rsidRPr="003D4BC7">
        <w:rPr>
          <w:rFonts w:ascii="Arial" w:hAnsi="Arial" w:cs="Arial"/>
          <w:color w:val="000000" w:themeColor="text1"/>
        </w:rPr>
        <w:t xml:space="preserve">wurden dem </w:t>
      </w:r>
    </w:p>
    <w:p w:rsidR="000B3654" w:rsidRPr="003D4BC7" w:rsidRDefault="00576039" w:rsidP="004E43A9">
      <w:pPr>
        <w:ind w:left="360"/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lastRenderedPageBreak/>
        <w:t>Fallpauschalenkatalog</w:t>
      </w:r>
      <w:proofErr w:type="spellEnd"/>
      <w:r>
        <w:rPr>
          <w:rFonts w:ascii="Arial" w:hAnsi="Arial" w:cs="Arial"/>
          <w:color w:val="000000" w:themeColor="text1"/>
        </w:rPr>
        <w:t xml:space="preserve"> 2019</w:t>
      </w:r>
      <w:r w:rsidR="009A7C00">
        <w:rPr>
          <w:rFonts w:ascii="Arial" w:hAnsi="Arial" w:cs="Arial"/>
          <w:color w:val="000000" w:themeColor="text1"/>
        </w:rPr>
        <w:t xml:space="preserve"> </w:t>
      </w:r>
      <w:r w:rsidR="00DC2B44" w:rsidRPr="003D4BC7">
        <w:rPr>
          <w:rFonts w:ascii="Arial" w:hAnsi="Arial" w:cs="Arial"/>
          <w:color w:val="000000" w:themeColor="text1"/>
        </w:rPr>
        <w:t>entnommen.</w:t>
      </w:r>
      <w:r w:rsidR="003670BA" w:rsidRPr="003D4BC7">
        <w:rPr>
          <w:rFonts w:ascii="Arial" w:hAnsi="Arial" w:cs="Arial"/>
          <w:color w:val="000000" w:themeColor="text1"/>
        </w:rPr>
        <w:t xml:space="preserve"> Die Aufstellung der neuen Untersuchungs- und Behandlungsmethode</w:t>
      </w:r>
      <w:r w:rsidR="001F71EC" w:rsidRPr="003D4BC7">
        <w:rPr>
          <w:rFonts w:ascii="Arial" w:hAnsi="Arial" w:cs="Arial"/>
          <w:color w:val="000000" w:themeColor="text1"/>
        </w:rPr>
        <w:t>n</w:t>
      </w:r>
      <w:r w:rsidR="003670BA" w:rsidRPr="003D4BC7">
        <w:rPr>
          <w:rFonts w:ascii="Arial" w:hAnsi="Arial" w:cs="Arial"/>
          <w:color w:val="000000" w:themeColor="text1"/>
        </w:rPr>
        <w:t xml:space="preserve"> (NUB-Status 1 und 4)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2F04CE" w:rsidRPr="003D4BC7">
        <w:rPr>
          <w:rFonts w:ascii="Arial" w:hAnsi="Arial" w:cs="Arial"/>
          <w:color w:val="000000" w:themeColor="text1"/>
        </w:rPr>
        <w:t xml:space="preserve">stammen aus der </w:t>
      </w:r>
      <w:proofErr w:type="spellStart"/>
      <w:r w:rsidR="002F04CE" w:rsidRPr="003D4BC7">
        <w:rPr>
          <w:rFonts w:ascii="Arial" w:hAnsi="Arial" w:cs="Arial"/>
          <w:color w:val="000000" w:themeColor="text1"/>
        </w:rPr>
        <w:t>InEK</w:t>
      </w:r>
      <w:proofErr w:type="spellEnd"/>
      <w:r w:rsidR="002F04CE" w:rsidRPr="003D4BC7">
        <w:rPr>
          <w:rFonts w:ascii="Arial" w:hAnsi="Arial" w:cs="Arial"/>
          <w:color w:val="000000" w:themeColor="text1"/>
        </w:rPr>
        <w:t>-Ver</w:t>
      </w:r>
      <w:r w:rsidR="00BB0987">
        <w:rPr>
          <w:rFonts w:ascii="Arial" w:hAnsi="Arial" w:cs="Arial"/>
          <w:color w:val="000000" w:themeColor="text1"/>
        </w:rPr>
        <w:t>öffentlichung vom Februar d</w:t>
      </w:r>
      <w:r w:rsidR="00D77623">
        <w:rPr>
          <w:rFonts w:ascii="Arial" w:hAnsi="Arial" w:cs="Arial"/>
          <w:color w:val="000000" w:themeColor="text1"/>
        </w:rPr>
        <w:t>es</w:t>
      </w:r>
      <w:r w:rsidR="002F04CE" w:rsidRPr="003D4BC7">
        <w:rPr>
          <w:rFonts w:ascii="Arial" w:hAnsi="Arial" w:cs="Arial"/>
          <w:color w:val="000000" w:themeColor="text1"/>
        </w:rPr>
        <w:t xml:space="preserve"> Jahres</w:t>
      </w:r>
      <w:r>
        <w:rPr>
          <w:rFonts w:ascii="Arial" w:hAnsi="Arial" w:cs="Arial"/>
          <w:color w:val="000000" w:themeColor="text1"/>
        </w:rPr>
        <w:t xml:space="preserve"> 2019</w:t>
      </w:r>
      <w:r w:rsidR="002F04CE" w:rsidRPr="003D4BC7">
        <w:rPr>
          <w:rFonts w:ascii="Arial" w:hAnsi="Arial" w:cs="Arial"/>
          <w:color w:val="000000" w:themeColor="text1"/>
        </w:rPr>
        <w:t>.</w:t>
      </w:r>
    </w:p>
    <w:p w:rsidR="00870556" w:rsidRDefault="00FE0531" w:rsidP="00870556">
      <w:pPr>
        <w:ind w:left="360"/>
        <w:jc w:val="both"/>
        <w:rPr>
          <w:rFonts w:ascii="Arial" w:hAnsi="Arial" w:cs="Arial"/>
          <w:color w:val="000000" w:themeColor="text1"/>
          <w:szCs w:val="18"/>
        </w:rPr>
      </w:pPr>
      <w:r w:rsidRPr="003D4BC7">
        <w:rPr>
          <w:rFonts w:ascii="Arial" w:hAnsi="Arial" w:cs="Arial"/>
          <w:color w:val="000000" w:themeColor="text1"/>
        </w:rPr>
        <w:t xml:space="preserve">Der Landesbasisfallwert wurde </w:t>
      </w:r>
      <w:r w:rsidR="00AE3C56">
        <w:rPr>
          <w:rFonts w:ascii="Arial" w:hAnsi="Arial" w:cs="Arial"/>
          <w:color w:val="000000" w:themeColor="text1"/>
        </w:rPr>
        <w:t>mit 35</w:t>
      </w:r>
      <w:r w:rsidR="00576039">
        <w:rPr>
          <w:rFonts w:ascii="Arial" w:hAnsi="Arial" w:cs="Arial"/>
          <w:color w:val="000000" w:themeColor="text1"/>
        </w:rPr>
        <w:t>5</w:t>
      </w:r>
      <w:r w:rsidR="00870556">
        <w:rPr>
          <w:rFonts w:ascii="Arial" w:hAnsi="Arial" w:cs="Arial"/>
          <w:color w:val="000000" w:themeColor="text1"/>
        </w:rPr>
        <w:t>0</w:t>
      </w:r>
      <w:r w:rsidRPr="003D4BC7">
        <w:rPr>
          <w:rFonts w:ascii="Arial" w:hAnsi="Arial" w:cs="Arial"/>
          <w:color w:val="000000" w:themeColor="text1"/>
        </w:rPr>
        <w:t xml:space="preserve"> Euro voreingestellt und ist vom Anwender auf den Wert des jeweiligen Bundeslandes anzupassen. Die Eingabe der Personalkosten pro Anästhes</w:t>
      </w:r>
      <w:r w:rsidR="00D62062">
        <w:rPr>
          <w:rFonts w:ascii="Arial" w:hAnsi="Arial" w:cs="Arial"/>
          <w:color w:val="000000" w:themeColor="text1"/>
        </w:rPr>
        <w:t>ieminute (Reine Anästhesiezeit (</w:t>
      </w:r>
      <w:proofErr w:type="spellStart"/>
      <w:r w:rsidRPr="003D4BC7">
        <w:rPr>
          <w:rFonts w:ascii="Arial" w:hAnsi="Arial" w:cs="Arial"/>
          <w:color w:val="000000" w:themeColor="text1"/>
        </w:rPr>
        <w:t>RAn</w:t>
      </w:r>
      <w:r w:rsidR="00D62062">
        <w:rPr>
          <w:rFonts w:ascii="Arial" w:hAnsi="Arial" w:cs="Arial"/>
          <w:color w:val="000000" w:themeColor="text1"/>
        </w:rPr>
        <w:t>Z</w:t>
      </w:r>
      <w:proofErr w:type="spellEnd"/>
      <w:r w:rsidR="00D62062">
        <w:rPr>
          <w:rFonts w:ascii="Arial" w:hAnsi="Arial" w:cs="Arial"/>
          <w:color w:val="000000" w:themeColor="text1"/>
        </w:rPr>
        <w:t>)</w:t>
      </w:r>
      <w:r w:rsidRPr="003D4BC7">
        <w:rPr>
          <w:rFonts w:ascii="Arial" w:hAnsi="Arial" w:cs="Arial"/>
          <w:color w:val="000000" w:themeColor="text1"/>
        </w:rPr>
        <w:t xml:space="preserve"> Beginn Anästhesie bis Ende Anästhesie) ist standardmäßig </w:t>
      </w:r>
      <w:r>
        <w:rPr>
          <w:rFonts w:ascii="Arial" w:hAnsi="Arial" w:cs="Arial"/>
          <w:color w:val="000000" w:themeColor="text1"/>
        </w:rPr>
        <w:t xml:space="preserve">auf 2,66 </w:t>
      </w:r>
      <w:r w:rsidRPr="003D4BC7">
        <w:rPr>
          <w:rFonts w:ascii="Arial" w:hAnsi="Arial" w:cs="Arial"/>
          <w:color w:val="000000" w:themeColor="text1"/>
        </w:rPr>
        <w:t>€ gesetzt (</w:t>
      </w:r>
      <w:r w:rsidRPr="002C10C6">
        <w:rPr>
          <w:rFonts w:ascii="Arial" w:hAnsi="Arial" w:cs="Arial"/>
          <w:color w:val="000000" w:themeColor="text1"/>
          <w:sz w:val="18"/>
          <w:szCs w:val="18"/>
        </w:rPr>
        <w:t xml:space="preserve">Welker et al., </w:t>
      </w:r>
      <w:r w:rsidRPr="002C10C6">
        <w:rPr>
          <w:rFonts w:ascii="Arial" w:hAnsi="Arial" w:cs="Arial"/>
          <w:color w:val="000000" w:themeColor="text1"/>
          <w:sz w:val="18"/>
          <w:szCs w:val="18"/>
          <w:lang w:val="sv-SE"/>
        </w:rPr>
        <w:t xml:space="preserve">Anästh Intensivmed 2009; 50:745-750, </w:t>
      </w:r>
      <w:r w:rsidRPr="002C10C6">
        <w:rPr>
          <w:rFonts w:ascii="Arial" w:hAnsi="Arial" w:cs="Arial"/>
          <w:color w:val="000000" w:themeColor="text1"/>
          <w:sz w:val="18"/>
          <w:szCs w:val="18"/>
        </w:rPr>
        <w:t>Bezugsjahr 2007, Analyse der IST- Kosten Anästhesie in deutschen Krankenhäusern</w:t>
      </w:r>
      <w:r>
        <w:rPr>
          <w:rFonts w:ascii="Arial" w:hAnsi="Arial" w:cs="Arial"/>
          <w:color w:val="000000" w:themeColor="text1"/>
          <w:sz w:val="18"/>
          <w:szCs w:val="18"/>
        </w:rPr>
        <w:t>)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="00870556">
        <w:rPr>
          <w:rFonts w:ascii="Arial" w:hAnsi="Arial" w:cs="Arial"/>
          <w:color w:val="000000" w:themeColor="text1"/>
          <w:szCs w:val="18"/>
        </w:rPr>
        <w:t xml:space="preserve">Ein Gleichzeitigkeitsfaktor kann ebenfalls eingetragen werden. Optional können die Personalkosten der Chirurgie des </w:t>
      </w:r>
      <w:proofErr w:type="gramStart"/>
      <w:r w:rsidR="00870556">
        <w:rPr>
          <w:rFonts w:ascii="Arial" w:hAnsi="Arial" w:cs="Arial"/>
          <w:color w:val="000000" w:themeColor="text1"/>
          <w:szCs w:val="18"/>
        </w:rPr>
        <w:t>Ärztlichen</w:t>
      </w:r>
      <w:proofErr w:type="gramEnd"/>
      <w:r w:rsidR="00870556">
        <w:rPr>
          <w:rFonts w:ascii="Arial" w:hAnsi="Arial" w:cs="Arial"/>
          <w:color w:val="000000" w:themeColor="text1"/>
          <w:szCs w:val="18"/>
        </w:rPr>
        <w:t xml:space="preserve"> D</w:t>
      </w:r>
      <w:r w:rsidR="006D3A40">
        <w:rPr>
          <w:rFonts w:ascii="Arial" w:hAnsi="Arial" w:cs="Arial"/>
          <w:color w:val="000000" w:themeColor="text1"/>
          <w:szCs w:val="18"/>
        </w:rPr>
        <w:t xml:space="preserve">ienstes und der Pflegedienstes </w:t>
      </w:r>
      <w:r w:rsidR="00870556">
        <w:rPr>
          <w:rFonts w:ascii="Arial" w:hAnsi="Arial" w:cs="Arial"/>
          <w:color w:val="000000" w:themeColor="text1"/>
          <w:szCs w:val="18"/>
        </w:rPr>
        <w:t>incl. GZF eingetragen werden.</w:t>
      </w:r>
      <w:r w:rsidR="00D62062">
        <w:rPr>
          <w:rFonts w:ascii="Arial" w:hAnsi="Arial" w:cs="Arial"/>
          <w:color w:val="000000" w:themeColor="text1"/>
          <w:szCs w:val="18"/>
        </w:rPr>
        <w:t xml:space="preserve"> (Abb. 4)</w:t>
      </w:r>
    </w:p>
    <w:p w:rsidR="00FE0531" w:rsidRDefault="00BF06DF" w:rsidP="0024498C">
      <w:pPr>
        <w:ind w:left="360"/>
        <w:jc w:val="both"/>
        <w:rPr>
          <w:rFonts w:ascii="Arial" w:hAnsi="Arial" w:cs="Arial"/>
          <w:color w:val="000000" w:themeColor="text1"/>
          <w:szCs w:val="18"/>
        </w:rPr>
      </w:pPr>
      <w:r>
        <w:rPr>
          <w:noProof/>
        </w:rPr>
        <w:drawing>
          <wp:inline distT="0" distB="0" distL="0" distR="0" wp14:anchorId="1F9E28C6" wp14:editId="3E28DF0F">
            <wp:extent cx="4531936" cy="2388358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7253" cy="239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0556">
        <w:rPr>
          <w:rFonts w:ascii="Arial" w:hAnsi="Arial" w:cs="Arial"/>
          <w:color w:val="000000" w:themeColor="text1"/>
          <w:szCs w:val="18"/>
        </w:rPr>
        <w:t xml:space="preserve"> </w:t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  <w:szCs w:val="18"/>
        </w:rPr>
        <w:t>Abb. 4</w:t>
      </w:r>
      <w:r>
        <w:rPr>
          <w:rFonts w:ascii="Arial" w:hAnsi="Arial" w:cs="Arial"/>
          <w:color w:val="0070C0"/>
          <w:sz w:val="18"/>
          <w:szCs w:val="18"/>
        </w:rPr>
        <w:t xml:space="preserve"> Basisdaten</w:t>
      </w:r>
    </w:p>
    <w:p w:rsidR="003F545A" w:rsidRDefault="00870556" w:rsidP="003F545A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Nach Anklic</w:t>
      </w:r>
      <w:r w:rsidR="00FD0D89">
        <w:rPr>
          <w:rFonts w:ascii="Arial" w:hAnsi="Arial" w:cs="Arial"/>
          <w:color w:val="000000" w:themeColor="text1"/>
        </w:rPr>
        <w:t>ken des Links „zur Dateneingabe“</w:t>
      </w:r>
      <w:r>
        <w:rPr>
          <w:rFonts w:ascii="Arial" w:hAnsi="Arial" w:cs="Arial"/>
          <w:color w:val="000000" w:themeColor="text1"/>
        </w:rPr>
        <w:t xml:space="preserve"> </w:t>
      </w:r>
      <w:r w:rsidR="002F04CE" w:rsidRPr="003D4BC7">
        <w:rPr>
          <w:rFonts w:ascii="Arial" w:hAnsi="Arial" w:cs="Arial"/>
          <w:color w:val="000000" w:themeColor="text1"/>
        </w:rPr>
        <w:t xml:space="preserve">können die erbrachten DRGs </w:t>
      </w:r>
      <w:r w:rsidR="00B706D4" w:rsidRPr="003D4BC7">
        <w:rPr>
          <w:rFonts w:ascii="Arial" w:hAnsi="Arial" w:cs="Arial"/>
          <w:color w:val="000000" w:themeColor="text1"/>
        </w:rPr>
        <w:t>mit der entsprechenden Anzahl eingegeben werden.</w:t>
      </w:r>
    </w:p>
    <w:p w:rsidR="00870556" w:rsidRDefault="004C70E9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151F0A7B" wp14:editId="0A3BDD41">
            <wp:extent cx="4565176" cy="1644007"/>
            <wp:effectExtent l="0" t="0" r="6985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7578" cy="165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5</w:t>
      </w:r>
      <w:r>
        <w:rPr>
          <w:rFonts w:ascii="Arial" w:hAnsi="Arial" w:cs="Arial"/>
          <w:color w:val="0070C0"/>
          <w:sz w:val="18"/>
        </w:rPr>
        <w:t xml:space="preserve"> Auswahlfenster DRGs</w:t>
      </w:r>
    </w:p>
    <w:p w:rsidR="003F545A" w:rsidRDefault="003F545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Der Anwender kann nun durch einen Doppelklick (siehe Abb.</w:t>
      </w:r>
      <w:r w:rsidR="00DA12E9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>) ein Auswahlfenster mit der Liste der DRGs öffnen und eine Auswahl treffen.</w:t>
      </w:r>
    </w:p>
    <w:p w:rsidR="00D62062" w:rsidRDefault="00D62062" w:rsidP="0024498C">
      <w:pPr>
        <w:ind w:left="360"/>
        <w:jc w:val="both"/>
        <w:rPr>
          <w:rFonts w:ascii="Arial" w:hAnsi="Arial" w:cs="Arial"/>
          <w:color w:val="000000" w:themeColor="text1"/>
        </w:rPr>
      </w:pPr>
    </w:p>
    <w:p w:rsidR="00D62062" w:rsidRDefault="00D62062" w:rsidP="0024498C">
      <w:pPr>
        <w:ind w:left="360"/>
        <w:jc w:val="both"/>
        <w:rPr>
          <w:rFonts w:ascii="Arial" w:hAnsi="Arial" w:cs="Arial"/>
          <w:color w:val="000000" w:themeColor="text1"/>
        </w:rPr>
      </w:pPr>
    </w:p>
    <w:p w:rsidR="003F545A" w:rsidRDefault="004C70E9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271FC500" wp14:editId="36506FFA">
            <wp:extent cx="4537881" cy="2408555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6189" cy="241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6</w:t>
      </w:r>
      <w:r>
        <w:rPr>
          <w:rFonts w:ascii="Arial" w:hAnsi="Arial" w:cs="Arial"/>
          <w:color w:val="0070C0"/>
          <w:sz w:val="18"/>
        </w:rPr>
        <w:t xml:space="preserve"> DRG-Auswahlliste</w:t>
      </w:r>
    </w:p>
    <w:p w:rsidR="003F545A" w:rsidRDefault="004C70E9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4A611B0B" wp14:editId="09F4DB00">
            <wp:extent cx="4565176" cy="1534795"/>
            <wp:effectExtent l="0" t="0" r="6985" b="8255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475" cy="1546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7</w:t>
      </w:r>
      <w:r>
        <w:rPr>
          <w:rFonts w:ascii="Arial" w:hAnsi="Arial" w:cs="Arial"/>
          <w:color w:val="0070C0"/>
          <w:sz w:val="18"/>
        </w:rPr>
        <w:t xml:space="preserve"> </w:t>
      </w:r>
      <w:r w:rsidR="00047A0C">
        <w:rPr>
          <w:rFonts w:ascii="Arial" w:hAnsi="Arial" w:cs="Arial"/>
          <w:color w:val="0070C0"/>
          <w:sz w:val="18"/>
        </w:rPr>
        <w:t>Eingabe der DRGs</w:t>
      </w:r>
    </w:p>
    <w:p w:rsidR="0024498C" w:rsidRDefault="00047A0C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</w:t>
      </w:r>
      <w:r w:rsidR="003419D8" w:rsidRPr="003D4BC7">
        <w:rPr>
          <w:rFonts w:ascii="Arial" w:hAnsi="Arial" w:cs="Arial"/>
          <w:color w:val="000000" w:themeColor="text1"/>
        </w:rPr>
        <w:t xml:space="preserve">uf Grundlage der kalkulierten Kosten </w:t>
      </w:r>
      <w:r w:rsidR="002D52CB" w:rsidRPr="003D4BC7">
        <w:rPr>
          <w:rFonts w:ascii="Arial" w:hAnsi="Arial" w:cs="Arial"/>
          <w:color w:val="000000" w:themeColor="text1"/>
        </w:rPr>
        <w:t>aller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3419D8" w:rsidRPr="003D4BC7">
        <w:rPr>
          <w:rFonts w:ascii="Arial" w:hAnsi="Arial" w:cs="Arial"/>
          <w:color w:val="000000" w:themeColor="text1"/>
        </w:rPr>
        <w:t xml:space="preserve">erbrachten DRGs und des Landesbasisfallwertes wird </w:t>
      </w:r>
      <w:r w:rsidR="004C6408" w:rsidRPr="003D4BC7">
        <w:rPr>
          <w:rFonts w:ascii="Arial" w:hAnsi="Arial" w:cs="Arial"/>
          <w:color w:val="000000" w:themeColor="text1"/>
        </w:rPr>
        <w:t>anschließend die</w:t>
      </w:r>
      <w:r w:rsidR="003419D8" w:rsidRPr="003D4BC7">
        <w:rPr>
          <w:rFonts w:ascii="Arial" w:hAnsi="Arial" w:cs="Arial"/>
          <w:color w:val="000000" w:themeColor="text1"/>
        </w:rPr>
        <w:t xml:space="preserve"> Erlösmatrix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2D52CB" w:rsidRPr="003D4BC7">
        <w:rPr>
          <w:rFonts w:ascii="Arial" w:hAnsi="Arial" w:cs="Arial"/>
          <w:color w:val="000000" w:themeColor="text1"/>
        </w:rPr>
        <w:t>im Ergebnis dargestellt</w:t>
      </w:r>
      <w:r w:rsidR="004C6408" w:rsidRPr="003D4BC7">
        <w:rPr>
          <w:rFonts w:ascii="Arial" w:hAnsi="Arial" w:cs="Arial"/>
          <w:color w:val="000000" w:themeColor="text1"/>
        </w:rPr>
        <w:t>.</w:t>
      </w:r>
      <w:r w:rsidR="0024498C" w:rsidRPr="003D4BC7">
        <w:rPr>
          <w:rFonts w:ascii="Arial" w:hAnsi="Arial" w:cs="Arial"/>
          <w:color w:val="000000" w:themeColor="text1"/>
        </w:rPr>
        <w:t xml:space="preserve"> </w:t>
      </w:r>
      <w:r w:rsidR="00D50A32" w:rsidRPr="003D4BC7">
        <w:rPr>
          <w:rFonts w:ascii="Arial" w:hAnsi="Arial" w:cs="Arial"/>
          <w:color w:val="000000" w:themeColor="text1"/>
        </w:rPr>
        <w:t>Des Wei</w:t>
      </w:r>
      <w:r w:rsidR="00FD0D89">
        <w:rPr>
          <w:rFonts w:ascii="Arial" w:hAnsi="Arial" w:cs="Arial"/>
          <w:color w:val="000000" w:themeColor="text1"/>
        </w:rPr>
        <w:t>teren wird</w:t>
      </w:r>
      <w:r w:rsidR="00D50A32" w:rsidRPr="003D4BC7">
        <w:rPr>
          <w:rFonts w:ascii="Arial" w:hAnsi="Arial" w:cs="Arial"/>
          <w:color w:val="000000" w:themeColor="text1"/>
        </w:rPr>
        <w:t xml:space="preserve"> die aus den Personalkosten pro Anästhesieminute errechnete „reine Anästhesiezeit (Kapazität)“ ausgewiesen. Optional ist die Eingabe der tatsächlich geleist</w:t>
      </w:r>
      <w:r w:rsidR="00D62062">
        <w:rPr>
          <w:rFonts w:ascii="Arial" w:hAnsi="Arial" w:cs="Arial"/>
          <w:color w:val="000000" w:themeColor="text1"/>
        </w:rPr>
        <w:t>eten reinen Anästhesiezeit (</w:t>
      </w:r>
      <w:proofErr w:type="spellStart"/>
      <w:r w:rsidR="00D62062">
        <w:rPr>
          <w:rFonts w:ascii="Arial" w:hAnsi="Arial" w:cs="Arial"/>
          <w:color w:val="000000" w:themeColor="text1"/>
        </w:rPr>
        <w:t>RAnZ</w:t>
      </w:r>
      <w:proofErr w:type="spellEnd"/>
      <w:r w:rsidR="00D50A32" w:rsidRPr="003D4BC7">
        <w:rPr>
          <w:rFonts w:ascii="Arial" w:hAnsi="Arial" w:cs="Arial"/>
          <w:color w:val="000000" w:themeColor="text1"/>
        </w:rPr>
        <w:t>) je DRG mög</w:t>
      </w:r>
      <w:r w:rsidR="00D50A32">
        <w:rPr>
          <w:rFonts w:ascii="Arial" w:hAnsi="Arial" w:cs="Arial"/>
          <w:color w:val="000000" w:themeColor="text1"/>
        </w:rPr>
        <w:t>lich und der tatsächlich geleisteten perioperativen Zeit (PEZ).</w:t>
      </w:r>
      <w:r w:rsidR="00D50A32" w:rsidRPr="00D50A32">
        <w:rPr>
          <w:rFonts w:ascii="Arial" w:hAnsi="Arial" w:cs="Arial"/>
          <w:color w:val="000000" w:themeColor="text1"/>
        </w:rPr>
        <w:t xml:space="preserve"> </w:t>
      </w:r>
      <w:r w:rsidR="00D50A32">
        <w:rPr>
          <w:rFonts w:ascii="Arial" w:hAnsi="Arial" w:cs="Arial"/>
          <w:color w:val="000000" w:themeColor="text1"/>
        </w:rPr>
        <w:t>U</w:t>
      </w:r>
      <w:r w:rsidR="00D50A32" w:rsidRPr="003D4BC7">
        <w:rPr>
          <w:rFonts w:ascii="Arial" w:hAnsi="Arial" w:cs="Arial"/>
          <w:color w:val="000000" w:themeColor="text1"/>
        </w:rPr>
        <w:t xml:space="preserve">nter Berücksichtigung der in einer DRG tatsächlich geleisteten reinen Anästhesiezeit </w:t>
      </w:r>
      <w:r w:rsidR="00D50A32">
        <w:rPr>
          <w:rFonts w:ascii="Arial" w:hAnsi="Arial" w:cs="Arial"/>
          <w:color w:val="000000" w:themeColor="text1"/>
        </w:rPr>
        <w:t xml:space="preserve">wird </w:t>
      </w:r>
      <w:r w:rsidR="00D50A32" w:rsidRPr="003D4BC7">
        <w:rPr>
          <w:rFonts w:ascii="Arial" w:hAnsi="Arial" w:cs="Arial"/>
          <w:color w:val="000000" w:themeColor="text1"/>
        </w:rPr>
        <w:t>der Deckungsbe</w:t>
      </w:r>
      <w:r w:rsidR="00D50A32">
        <w:rPr>
          <w:rFonts w:ascii="Arial" w:hAnsi="Arial" w:cs="Arial"/>
          <w:color w:val="000000" w:themeColor="text1"/>
        </w:rPr>
        <w:t>itrag gesamt und pro geleistete</w:t>
      </w:r>
      <w:r w:rsidR="00D50A32" w:rsidRPr="003D4BC7">
        <w:rPr>
          <w:rFonts w:ascii="Arial" w:hAnsi="Arial" w:cs="Arial"/>
          <w:color w:val="000000" w:themeColor="text1"/>
        </w:rPr>
        <w:t xml:space="preserve"> Anästhesieminute angegeben</w:t>
      </w:r>
      <w:r w:rsidR="00D50A32">
        <w:rPr>
          <w:rFonts w:ascii="Arial" w:hAnsi="Arial" w:cs="Arial"/>
          <w:color w:val="000000" w:themeColor="text1"/>
        </w:rPr>
        <w:t>.</w:t>
      </w:r>
    </w:p>
    <w:p w:rsidR="00870556" w:rsidRDefault="007A7781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0E32F457" wp14:editId="4313BE81">
            <wp:extent cx="4599296" cy="2026285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9252" cy="203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8</w:t>
      </w:r>
      <w:r>
        <w:rPr>
          <w:rFonts w:ascii="Arial" w:hAnsi="Arial" w:cs="Arial"/>
          <w:color w:val="0070C0"/>
          <w:sz w:val="18"/>
        </w:rPr>
        <w:t xml:space="preserve"> Erlösmatrix für Normallieger</w:t>
      </w:r>
    </w:p>
    <w:p w:rsidR="00870556" w:rsidRDefault="003F545A" w:rsidP="002425D7">
      <w:pPr>
        <w:pStyle w:val="Listenabsatz"/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lastRenderedPageBreak/>
        <w:t>Im nächsten Schritt können die Summe der Ab</w:t>
      </w:r>
      <w:r w:rsidR="00D62062">
        <w:rPr>
          <w:rFonts w:ascii="Arial" w:hAnsi="Arial" w:cs="Arial"/>
          <w:color w:val="000000" w:themeColor="text1"/>
        </w:rPr>
        <w:t>- und Zuschläge für Kurz-, Langlieger</w:t>
      </w:r>
      <w:r>
        <w:rPr>
          <w:rFonts w:ascii="Arial" w:hAnsi="Arial" w:cs="Arial"/>
          <w:color w:val="000000" w:themeColor="text1"/>
        </w:rPr>
        <w:t xml:space="preserve"> in CM-Punkten erfasst werden. Die ermittelten Anteile werden ausschließlich den Kostenstellen der Normalstation, Intensivstation, Radiologie, Labor und den übrigen diagnostischen Bereichen zugeordnet.</w:t>
      </w:r>
      <w:r w:rsidR="00D94BEB" w:rsidRPr="00D94BEB">
        <w:rPr>
          <w:rFonts w:ascii="Arial" w:hAnsi="Arial" w:cs="Arial"/>
        </w:rPr>
        <w:t xml:space="preserve"> </w:t>
      </w:r>
      <w:r w:rsidR="00D94BEB" w:rsidRPr="007769EF">
        <w:rPr>
          <w:rFonts w:ascii="Arial" w:hAnsi="Arial" w:cs="Arial"/>
        </w:rPr>
        <w:t xml:space="preserve">In der Ergebnismatrix werden die tatsächlichen Erlöse der </w:t>
      </w:r>
      <w:proofErr w:type="spellStart"/>
      <w:r w:rsidR="00D94BEB" w:rsidRPr="007769EF">
        <w:rPr>
          <w:rFonts w:ascii="Arial" w:hAnsi="Arial" w:cs="Arial"/>
        </w:rPr>
        <w:t>Inlier</w:t>
      </w:r>
      <w:proofErr w:type="spellEnd"/>
      <w:r w:rsidR="00D94BEB" w:rsidRPr="007769EF">
        <w:rPr>
          <w:rFonts w:ascii="Arial" w:hAnsi="Arial" w:cs="Arial"/>
        </w:rPr>
        <w:t xml:space="preserve"> (Normallieger) auf die verschiedenen Kostenstellen verteilt. Die Kalkulation der Zu- und Abschläge für Lang- oder Kurzlieger erfolgt auf Basis der Differenzkosten, die resultierenden Erlöse bzw. Abschläge müssen entsprechend anders zugeordnet werden. Die Verteilung dieser Erlösanteile wird ermittelt, indem die Gesamterlöse für Lang- und Kurzlieger um den Erlösanteil für die Hauptleistung (Kostenstellen</w:t>
      </w:r>
      <w:r w:rsidR="00FF0BFA">
        <w:rPr>
          <w:rFonts w:ascii="Arial" w:hAnsi="Arial" w:cs="Arial"/>
        </w:rPr>
        <w:t>3,</w:t>
      </w:r>
      <w:r w:rsidR="00D94BEB" w:rsidRPr="007769EF">
        <w:rPr>
          <w:rFonts w:ascii="Arial" w:hAnsi="Arial" w:cs="Arial"/>
        </w:rPr>
        <w:t>4,5,6,7,8 und Kostenart 5) bereinigt werden.   Für den bereinigten Gesamterlös ergeben sich andere Prozentwerte, die als Verteilungsschlüssel der resultierenden Beträge verwendet werden. Bei Überschreitung der oberen Grenzverwei</w:t>
      </w:r>
      <w:r w:rsidR="00FF0BFA">
        <w:rPr>
          <w:rFonts w:ascii="Arial" w:hAnsi="Arial" w:cs="Arial"/>
        </w:rPr>
        <w:t xml:space="preserve">ldauer kommt es somit zu einer </w:t>
      </w:r>
      <w:r w:rsidR="00D94BEB" w:rsidRPr="007769EF">
        <w:rPr>
          <w:rFonts w:ascii="Arial" w:hAnsi="Arial" w:cs="Arial"/>
        </w:rPr>
        <w:t>sachgerechteren Verteilung der Erlöse auf die Kostenstellen, in denen vermeintlich zusätzliche Kosten entstehen (verweildauerabhängige Kosten).</w:t>
      </w:r>
      <w:r w:rsidR="00576039">
        <w:rPr>
          <w:rFonts w:ascii="Arial" w:hAnsi="Arial" w:cs="Arial"/>
        </w:rPr>
        <w:t xml:space="preserve"> </w:t>
      </w:r>
      <w:r w:rsidR="00D94BEB" w:rsidRPr="007769EF">
        <w:rPr>
          <w:rFonts w:ascii="Arial" w:hAnsi="Arial" w:cs="Arial"/>
        </w:rPr>
        <w:t xml:space="preserve">Ebenso würden Abschläge entsprechend diesen Bereichen </w:t>
      </w:r>
      <w:proofErr w:type="gramStart"/>
      <w:r w:rsidR="00D94BEB" w:rsidRPr="007769EF">
        <w:rPr>
          <w:rFonts w:ascii="Arial" w:hAnsi="Arial" w:cs="Arial"/>
        </w:rPr>
        <w:t>zugeordnet.(</w:t>
      </w:r>
      <w:proofErr w:type="gramEnd"/>
      <w:r w:rsidR="00D94BEB" w:rsidRPr="007769EF">
        <w:rPr>
          <w:rFonts w:ascii="Arial" w:hAnsi="Arial" w:cs="Arial"/>
        </w:rPr>
        <w:t xml:space="preserve">Siebers/ Helling/ Fiori/ </w:t>
      </w:r>
      <w:proofErr w:type="spellStart"/>
      <w:r w:rsidR="00D94BEB" w:rsidRPr="007769EF">
        <w:rPr>
          <w:rFonts w:ascii="Arial" w:hAnsi="Arial" w:cs="Arial"/>
        </w:rPr>
        <w:t>Bunzemeier</w:t>
      </w:r>
      <w:proofErr w:type="spellEnd"/>
      <w:r w:rsidR="00D94BEB" w:rsidRPr="007769EF">
        <w:rPr>
          <w:rFonts w:ascii="Arial" w:hAnsi="Arial" w:cs="Arial"/>
        </w:rPr>
        <w:t>/Roeder Das Krankenhaus 1.2008 S</w:t>
      </w:r>
      <w:r w:rsidR="002425D7">
        <w:rPr>
          <w:rFonts w:ascii="Arial" w:hAnsi="Arial" w:cs="Arial"/>
        </w:rPr>
        <w:t>.</w:t>
      </w:r>
      <w:r w:rsidR="00D94BEB" w:rsidRPr="007769EF">
        <w:rPr>
          <w:rFonts w:ascii="Arial" w:hAnsi="Arial" w:cs="Arial"/>
        </w:rPr>
        <w:t xml:space="preserve"> 35-44)</w:t>
      </w:r>
    </w:p>
    <w:p w:rsidR="002425D7" w:rsidRDefault="002425D7" w:rsidP="002425D7">
      <w:pPr>
        <w:pStyle w:val="Listenabsatz"/>
        <w:spacing w:after="0"/>
        <w:ind w:left="360"/>
        <w:jc w:val="both"/>
        <w:rPr>
          <w:rFonts w:ascii="Arial" w:hAnsi="Arial" w:cs="Arial"/>
          <w:color w:val="000000" w:themeColor="text1"/>
        </w:rPr>
      </w:pPr>
    </w:p>
    <w:p w:rsidR="003F545A" w:rsidRDefault="007E46E7" w:rsidP="002425D7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02C79FDE" wp14:editId="6CAFC66F">
            <wp:extent cx="4810836" cy="1725778"/>
            <wp:effectExtent l="0" t="0" r="0" b="825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1913" cy="173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9</w:t>
      </w:r>
      <w:r>
        <w:rPr>
          <w:rFonts w:ascii="Arial" w:hAnsi="Arial" w:cs="Arial"/>
          <w:color w:val="0070C0"/>
          <w:sz w:val="18"/>
        </w:rPr>
        <w:t xml:space="preserve"> Summe Ab-/Zuschläge </w:t>
      </w:r>
    </w:p>
    <w:p w:rsidR="00322C7A" w:rsidRDefault="00322C7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Im nächsten Schritt können Eurobeträge für verhandelte </w:t>
      </w:r>
      <w:proofErr w:type="spellStart"/>
      <w:r>
        <w:rPr>
          <w:rFonts w:ascii="Arial" w:hAnsi="Arial" w:cs="Arial"/>
          <w:color w:val="000000" w:themeColor="text1"/>
        </w:rPr>
        <w:t>unbewertete</w:t>
      </w:r>
      <w:proofErr w:type="spellEnd"/>
      <w:r>
        <w:rPr>
          <w:rFonts w:ascii="Arial" w:hAnsi="Arial" w:cs="Arial"/>
          <w:color w:val="000000" w:themeColor="text1"/>
        </w:rPr>
        <w:t xml:space="preserve"> DRGs erfasst werden. Der Geldbetrag wird auf Basis der Erlösmatrix für Normallieger auf die Kostenstellen verteilt.</w:t>
      </w:r>
    </w:p>
    <w:p w:rsidR="003F545A" w:rsidRDefault="007E46E7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19CB3717" wp14:editId="24BFEC3E">
            <wp:extent cx="4872251" cy="1996807"/>
            <wp:effectExtent l="0" t="0" r="5080" b="381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5315" cy="200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10</w:t>
      </w:r>
      <w:r>
        <w:rPr>
          <w:rFonts w:ascii="Arial" w:hAnsi="Arial" w:cs="Arial"/>
          <w:color w:val="0070C0"/>
          <w:sz w:val="18"/>
        </w:rPr>
        <w:t xml:space="preserve"> Erlöse </w:t>
      </w:r>
      <w:proofErr w:type="spellStart"/>
      <w:r>
        <w:rPr>
          <w:rFonts w:ascii="Arial" w:hAnsi="Arial" w:cs="Arial"/>
          <w:color w:val="0070C0"/>
          <w:sz w:val="18"/>
        </w:rPr>
        <w:t>unbewertete</w:t>
      </w:r>
      <w:proofErr w:type="spellEnd"/>
      <w:r>
        <w:rPr>
          <w:rFonts w:ascii="Arial" w:hAnsi="Arial" w:cs="Arial"/>
          <w:color w:val="0070C0"/>
          <w:sz w:val="18"/>
        </w:rPr>
        <w:t xml:space="preserve"> DRGs</w:t>
      </w:r>
    </w:p>
    <w:p w:rsidR="00322C7A" w:rsidRDefault="00322C7A" w:rsidP="00A17336">
      <w:pPr>
        <w:spacing w:line="240" w:lineRule="auto"/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nachfolgenden Schritt gelangt man zur</w:t>
      </w:r>
      <w:r w:rsidRPr="003D4BC7">
        <w:rPr>
          <w:rFonts w:ascii="Arial" w:hAnsi="Arial" w:cs="Arial"/>
          <w:color w:val="000000" w:themeColor="text1"/>
        </w:rPr>
        <w:t xml:space="preserve"> Schaltfläche „Zusatzentgelte und NUB“ </w:t>
      </w:r>
      <w:r>
        <w:rPr>
          <w:rFonts w:ascii="Arial" w:hAnsi="Arial" w:cs="Arial"/>
          <w:color w:val="000000" w:themeColor="text1"/>
        </w:rPr>
        <w:t>(siehe Abb.</w:t>
      </w:r>
      <w:r w:rsidR="00E41A58">
        <w:rPr>
          <w:rFonts w:ascii="Arial" w:hAnsi="Arial" w:cs="Arial"/>
          <w:color w:val="000000" w:themeColor="text1"/>
        </w:rPr>
        <w:t>11</w:t>
      </w:r>
      <w:r>
        <w:rPr>
          <w:rFonts w:ascii="Arial" w:hAnsi="Arial" w:cs="Arial"/>
          <w:color w:val="000000" w:themeColor="text1"/>
        </w:rPr>
        <w:t>),</w:t>
      </w:r>
      <w:r w:rsidRPr="003D4BC7">
        <w:rPr>
          <w:rFonts w:ascii="Arial" w:hAnsi="Arial" w:cs="Arial"/>
          <w:color w:val="000000" w:themeColor="text1"/>
        </w:rPr>
        <w:t xml:space="preserve"> in das die erbrachten Zusatzentgelte (bewertet und </w:t>
      </w:r>
      <w:proofErr w:type="spellStart"/>
      <w:r w:rsidRPr="003D4BC7">
        <w:rPr>
          <w:rFonts w:ascii="Arial" w:hAnsi="Arial" w:cs="Arial"/>
          <w:color w:val="000000" w:themeColor="text1"/>
        </w:rPr>
        <w:t>unbewertet</w:t>
      </w:r>
      <w:proofErr w:type="spellEnd"/>
      <w:r w:rsidRPr="003D4BC7">
        <w:rPr>
          <w:rFonts w:ascii="Arial" w:hAnsi="Arial" w:cs="Arial"/>
          <w:color w:val="000000" w:themeColor="text1"/>
        </w:rPr>
        <w:t>) sowie neue Untersuchungs- und Behandlungsmethoden (NUB)</w:t>
      </w:r>
      <w:r>
        <w:rPr>
          <w:rFonts w:ascii="Arial" w:hAnsi="Arial" w:cs="Arial"/>
          <w:color w:val="000000" w:themeColor="text1"/>
        </w:rPr>
        <w:t xml:space="preserve"> erfasst</w:t>
      </w:r>
      <w:r w:rsidRPr="003D4BC7">
        <w:rPr>
          <w:rFonts w:ascii="Arial" w:hAnsi="Arial" w:cs="Arial"/>
          <w:color w:val="000000" w:themeColor="text1"/>
        </w:rPr>
        <w:t xml:space="preserve"> wer</w:t>
      </w:r>
      <w:r w:rsidR="00A17336">
        <w:rPr>
          <w:rFonts w:ascii="Arial" w:hAnsi="Arial" w:cs="Arial"/>
          <w:color w:val="000000" w:themeColor="text1"/>
        </w:rPr>
        <w:t>den können.</w:t>
      </w:r>
    </w:p>
    <w:p w:rsidR="00AC1D4A" w:rsidRDefault="00E327D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6A09C995" wp14:editId="50B9673D">
            <wp:extent cx="4906370" cy="538424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8271" cy="55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11</w:t>
      </w:r>
      <w:r>
        <w:rPr>
          <w:rFonts w:ascii="Arial" w:hAnsi="Arial" w:cs="Arial"/>
          <w:color w:val="0070C0"/>
          <w:sz w:val="18"/>
        </w:rPr>
        <w:t>Eingabe ZE/NUBs</w:t>
      </w:r>
    </w:p>
    <w:p w:rsidR="00AC1D4A" w:rsidRDefault="00A17336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Durch einen Doppelklick in der Zelle ZE/NUB erscheint der Zusatzentgelte-Katalog. Die Zusatzentgelte und NUB können einzeln ausgewählt werden. Zudem ist es erforderlich</w:t>
      </w:r>
      <w:r w:rsidR="002425D7">
        <w:rPr>
          <w:rFonts w:ascii="Arial" w:hAnsi="Arial" w:cs="Arial"/>
          <w:color w:val="000000" w:themeColor="text1"/>
        </w:rPr>
        <w:t>,</w:t>
      </w:r>
      <w:r w:rsidR="00576039">
        <w:rPr>
          <w:rFonts w:ascii="Arial" w:hAnsi="Arial" w:cs="Arial"/>
          <w:color w:val="000000" w:themeColor="text1"/>
        </w:rPr>
        <w:t xml:space="preserve"> die </w:t>
      </w:r>
      <w:r>
        <w:rPr>
          <w:rFonts w:ascii="Arial" w:hAnsi="Arial" w:cs="Arial"/>
          <w:color w:val="000000" w:themeColor="text1"/>
        </w:rPr>
        <w:t>Anzahl der Zusatzentgelte/NUB und die Einzelkosten einzugeben.</w:t>
      </w:r>
    </w:p>
    <w:p w:rsidR="00AC1D4A" w:rsidRDefault="00E327D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757153EA" wp14:editId="64A94E23">
            <wp:extent cx="4926330" cy="2709538"/>
            <wp:effectExtent l="0" t="0" r="762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0471" cy="272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  <w:szCs w:val="18"/>
        </w:rPr>
      </w:pPr>
      <w:r w:rsidRPr="00047A0C">
        <w:rPr>
          <w:rFonts w:ascii="Arial" w:hAnsi="Arial" w:cs="Arial"/>
          <w:color w:val="0070C0"/>
          <w:sz w:val="18"/>
          <w:szCs w:val="18"/>
        </w:rPr>
        <w:t xml:space="preserve">Abb. 12 Zusatzentgeltkatalog </w:t>
      </w:r>
    </w:p>
    <w:p w:rsidR="00A17336" w:rsidRDefault="00A17336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5. und letz</w:t>
      </w:r>
      <w:r w:rsidR="00A54A3C">
        <w:rPr>
          <w:rFonts w:ascii="Arial" w:hAnsi="Arial" w:cs="Arial"/>
          <w:color w:val="000000" w:themeColor="text1"/>
        </w:rPr>
        <w:t>t</w:t>
      </w:r>
      <w:r>
        <w:rPr>
          <w:rFonts w:ascii="Arial" w:hAnsi="Arial" w:cs="Arial"/>
          <w:color w:val="000000" w:themeColor="text1"/>
        </w:rPr>
        <w:t>en Schritt werden die Ist-Kosten für Personalkosten des ärztlic</w:t>
      </w:r>
      <w:r w:rsidR="002425D7">
        <w:rPr>
          <w:rFonts w:ascii="Arial" w:hAnsi="Arial" w:cs="Arial"/>
          <w:color w:val="000000" w:themeColor="text1"/>
        </w:rPr>
        <w:t xml:space="preserve">hen, des pflegerischen und des </w:t>
      </w:r>
      <w:r>
        <w:rPr>
          <w:rFonts w:ascii="Arial" w:hAnsi="Arial" w:cs="Arial"/>
          <w:color w:val="000000" w:themeColor="text1"/>
        </w:rPr>
        <w:t>medizinisch</w:t>
      </w:r>
      <w:r w:rsidR="00D50A32">
        <w:rPr>
          <w:rFonts w:ascii="Arial" w:hAnsi="Arial" w:cs="Arial"/>
          <w:color w:val="000000" w:themeColor="text1"/>
        </w:rPr>
        <w:t>-technischen Dienstes, z</w:t>
      </w:r>
      <w:r>
        <w:rPr>
          <w:rFonts w:ascii="Arial" w:hAnsi="Arial" w:cs="Arial"/>
          <w:color w:val="000000" w:themeColor="text1"/>
        </w:rPr>
        <w:t xml:space="preserve">udem die Sachkosten </w:t>
      </w:r>
      <w:r w:rsidR="00F31D7D">
        <w:rPr>
          <w:rFonts w:ascii="Arial" w:hAnsi="Arial" w:cs="Arial"/>
          <w:color w:val="000000" w:themeColor="text1"/>
        </w:rPr>
        <w:t>der Abteilung erfasst.</w:t>
      </w:r>
    </w:p>
    <w:p w:rsidR="00AC1D4A" w:rsidRDefault="00E327D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68C02A58" wp14:editId="49A4759A">
            <wp:extent cx="4980940" cy="1277620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64207" cy="129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13</w:t>
      </w:r>
      <w:r>
        <w:rPr>
          <w:rFonts w:ascii="Arial" w:hAnsi="Arial" w:cs="Arial"/>
          <w:color w:val="0070C0"/>
          <w:sz w:val="18"/>
        </w:rPr>
        <w:t xml:space="preserve"> Eingabe Ist-Kosten </w:t>
      </w:r>
    </w:p>
    <w:p w:rsidR="00AC1D4A" w:rsidRPr="003D4BC7" w:rsidRDefault="00D94BEB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Nachdem alle DRGs, die Summe CM fü</w:t>
      </w:r>
      <w:r w:rsidR="00D62062">
        <w:rPr>
          <w:rFonts w:ascii="Arial" w:hAnsi="Arial" w:cs="Arial"/>
          <w:color w:val="000000" w:themeColor="text1"/>
        </w:rPr>
        <w:t>r Kurz- und Langlieger</w:t>
      </w:r>
      <w:r>
        <w:rPr>
          <w:rFonts w:ascii="Arial" w:hAnsi="Arial" w:cs="Arial"/>
          <w:color w:val="000000" w:themeColor="text1"/>
        </w:rPr>
        <w:t>, sowie der Eurobe</w:t>
      </w:r>
      <w:r w:rsidR="00BA2BA4">
        <w:rPr>
          <w:rFonts w:ascii="Arial" w:hAnsi="Arial" w:cs="Arial"/>
          <w:color w:val="000000" w:themeColor="text1"/>
        </w:rPr>
        <w:t xml:space="preserve">trag für die </w:t>
      </w:r>
      <w:proofErr w:type="spellStart"/>
      <w:r w:rsidR="00BA2BA4">
        <w:rPr>
          <w:rFonts w:ascii="Arial" w:hAnsi="Arial" w:cs="Arial"/>
          <w:color w:val="000000" w:themeColor="text1"/>
        </w:rPr>
        <w:t>unbewerteten</w:t>
      </w:r>
      <w:proofErr w:type="spellEnd"/>
      <w:r w:rsidR="00BA2BA4">
        <w:rPr>
          <w:rFonts w:ascii="Arial" w:hAnsi="Arial" w:cs="Arial"/>
          <w:color w:val="000000" w:themeColor="text1"/>
        </w:rPr>
        <w:t xml:space="preserve"> DRGs </w:t>
      </w:r>
      <w:r>
        <w:rPr>
          <w:rFonts w:ascii="Arial" w:hAnsi="Arial" w:cs="Arial"/>
          <w:color w:val="000000" w:themeColor="text1"/>
        </w:rPr>
        <w:t>erfasst wurden</w:t>
      </w:r>
      <w:r w:rsidR="00D62062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gibt Ihnen das Programm sowohl die Erlösmatrix für </w:t>
      </w:r>
      <w:proofErr w:type="spellStart"/>
      <w:r>
        <w:rPr>
          <w:rFonts w:ascii="Arial" w:hAnsi="Arial" w:cs="Arial"/>
          <w:color w:val="000000" w:themeColor="text1"/>
        </w:rPr>
        <w:t>Inlier</w:t>
      </w:r>
      <w:proofErr w:type="spellEnd"/>
      <w:r>
        <w:rPr>
          <w:rFonts w:ascii="Arial" w:hAnsi="Arial" w:cs="Arial"/>
          <w:color w:val="000000" w:themeColor="text1"/>
        </w:rPr>
        <w:t xml:space="preserve">, zusätzlich eine Matrix </w:t>
      </w:r>
      <w:proofErr w:type="spellStart"/>
      <w:r>
        <w:rPr>
          <w:rFonts w:ascii="Arial" w:hAnsi="Arial" w:cs="Arial"/>
          <w:color w:val="000000" w:themeColor="text1"/>
        </w:rPr>
        <w:t>Inlier</w:t>
      </w:r>
      <w:proofErr w:type="spellEnd"/>
      <w:r>
        <w:rPr>
          <w:rFonts w:ascii="Arial" w:hAnsi="Arial" w:cs="Arial"/>
          <w:color w:val="000000" w:themeColor="text1"/>
        </w:rPr>
        <w:t xml:space="preserve"> mit Berücksichtigung </w:t>
      </w:r>
      <w:proofErr w:type="gramStart"/>
      <w:r>
        <w:rPr>
          <w:rFonts w:ascii="Arial" w:hAnsi="Arial" w:cs="Arial"/>
          <w:color w:val="000000" w:themeColor="text1"/>
        </w:rPr>
        <w:t>der  Zu</w:t>
      </w:r>
      <w:proofErr w:type="gramEnd"/>
      <w:r>
        <w:rPr>
          <w:rFonts w:ascii="Arial" w:hAnsi="Arial" w:cs="Arial"/>
          <w:color w:val="000000" w:themeColor="text1"/>
        </w:rPr>
        <w:t xml:space="preserve">- und Abschläge und eine Gesamterlösmatrix für </w:t>
      </w:r>
      <w:proofErr w:type="spellStart"/>
      <w:r>
        <w:rPr>
          <w:rFonts w:ascii="Arial" w:hAnsi="Arial" w:cs="Arial"/>
          <w:color w:val="000000" w:themeColor="text1"/>
        </w:rPr>
        <w:t>Inlier</w:t>
      </w:r>
      <w:proofErr w:type="spellEnd"/>
      <w:r>
        <w:rPr>
          <w:rFonts w:ascii="Arial" w:hAnsi="Arial" w:cs="Arial"/>
          <w:color w:val="000000" w:themeColor="text1"/>
        </w:rPr>
        <w:t xml:space="preserve">, Zu- und Abschläge plus der </w:t>
      </w:r>
      <w:proofErr w:type="spellStart"/>
      <w:r>
        <w:rPr>
          <w:rFonts w:ascii="Arial" w:hAnsi="Arial" w:cs="Arial"/>
          <w:color w:val="000000" w:themeColor="text1"/>
        </w:rPr>
        <w:t>unbewerteten</w:t>
      </w:r>
      <w:proofErr w:type="spellEnd"/>
      <w:r>
        <w:rPr>
          <w:rFonts w:ascii="Arial" w:hAnsi="Arial" w:cs="Arial"/>
          <w:color w:val="000000" w:themeColor="text1"/>
        </w:rPr>
        <w:t xml:space="preserve"> DRG-Beträge.</w:t>
      </w:r>
    </w:p>
    <w:p w:rsidR="007769EF" w:rsidRDefault="00A76C1A" w:rsidP="007769EF">
      <w:pPr>
        <w:pStyle w:val="Listenabsatz"/>
        <w:spacing w:after="0"/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5D2AF6AB" wp14:editId="112116EC">
            <wp:extent cx="5534167" cy="1890395"/>
            <wp:effectExtent l="0" t="0" r="9525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37265" cy="189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B11" w:rsidRDefault="00A76C1A" w:rsidP="00273C2B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665FD331" wp14:editId="6446E11E">
            <wp:extent cx="5540991" cy="1475740"/>
            <wp:effectExtent l="0" t="0" r="317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45494" cy="1476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C1A" w:rsidRDefault="00A76C1A" w:rsidP="00273C2B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28766D33" wp14:editId="1145906F">
            <wp:extent cx="5540375" cy="1552575"/>
            <wp:effectExtent l="0" t="0" r="3175" b="9525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58007" cy="155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867" w:rsidRDefault="00177867" w:rsidP="00273C2B">
      <w:pPr>
        <w:ind w:left="360"/>
        <w:jc w:val="both"/>
        <w:rPr>
          <w:rFonts w:ascii="Arial" w:hAnsi="Arial" w:cs="Arial"/>
          <w:color w:val="000000" w:themeColor="text1"/>
        </w:rPr>
      </w:pPr>
    </w:p>
    <w:p w:rsidR="00047A0C" w:rsidRPr="00047A0C" w:rsidRDefault="00047A0C" w:rsidP="00273C2B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14</w:t>
      </w:r>
      <w:r>
        <w:rPr>
          <w:rFonts w:ascii="Arial" w:hAnsi="Arial" w:cs="Arial"/>
          <w:color w:val="0070C0"/>
          <w:sz w:val="18"/>
        </w:rPr>
        <w:t xml:space="preserve"> Erlösmatrizen Norma</w:t>
      </w:r>
      <w:r w:rsidR="00A76C1A">
        <w:rPr>
          <w:rFonts w:ascii="Arial" w:hAnsi="Arial" w:cs="Arial"/>
          <w:color w:val="0070C0"/>
          <w:sz w:val="18"/>
        </w:rPr>
        <w:t>l</w:t>
      </w:r>
      <w:r>
        <w:rPr>
          <w:rFonts w:ascii="Arial" w:hAnsi="Arial" w:cs="Arial"/>
          <w:color w:val="0070C0"/>
          <w:sz w:val="18"/>
        </w:rPr>
        <w:t>lieger, incl</w:t>
      </w:r>
      <w:r w:rsidR="000313CD">
        <w:rPr>
          <w:rFonts w:ascii="Arial" w:hAnsi="Arial" w:cs="Arial"/>
          <w:color w:val="0070C0"/>
          <w:sz w:val="18"/>
        </w:rPr>
        <w:t>.</w:t>
      </w:r>
      <w:r>
        <w:rPr>
          <w:rFonts w:ascii="Arial" w:hAnsi="Arial" w:cs="Arial"/>
          <w:color w:val="0070C0"/>
          <w:sz w:val="18"/>
        </w:rPr>
        <w:t xml:space="preserve"> Zu-/Abschläge, Gesamterlösmatrix incl. Zu-/Abschläge und </w:t>
      </w:r>
      <w:proofErr w:type="spellStart"/>
      <w:r>
        <w:rPr>
          <w:rFonts w:ascii="Arial" w:hAnsi="Arial" w:cs="Arial"/>
          <w:color w:val="0070C0"/>
          <w:sz w:val="18"/>
        </w:rPr>
        <w:t>unbewertete</w:t>
      </w:r>
      <w:proofErr w:type="spellEnd"/>
      <w:r>
        <w:rPr>
          <w:rFonts w:ascii="Arial" w:hAnsi="Arial" w:cs="Arial"/>
          <w:color w:val="0070C0"/>
          <w:sz w:val="18"/>
        </w:rPr>
        <w:t xml:space="preserve"> DRGs</w:t>
      </w:r>
    </w:p>
    <w:p w:rsidR="00D74D4B" w:rsidRPr="003053BF" w:rsidRDefault="003053BF" w:rsidP="004E43A9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Dem Anwender steht eine grafische Darstellung zur Verfügung. Sie gelangen dorthin </w:t>
      </w:r>
      <w:r w:rsidR="000313CD">
        <w:rPr>
          <w:rFonts w:ascii="Arial" w:hAnsi="Arial" w:cs="Arial"/>
          <w:color w:val="000000" w:themeColor="text1"/>
        </w:rPr>
        <w:t>durch B</w:t>
      </w:r>
      <w:r>
        <w:rPr>
          <w:rFonts w:ascii="Arial" w:hAnsi="Arial" w:cs="Arial"/>
          <w:color w:val="000000" w:themeColor="text1"/>
        </w:rPr>
        <w:t>etätigen des Hyperlinks „Endauswertung“.</w:t>
      </w:r>
    </w:p>
    <w:p w:rsidR="00413647" w:rsidRDefault="00A76C1A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  <w:r>
        <w:rPr>
          <w:noProof/>
        </w:rPr>
        <w:drawing>
          <wp:inline distT="0" distB="0" distL="0" distR="0" wp14:anchorId="5F88E9DC" wp14:editId="61EDEBF8">
            <wp:extent cx="5513696" cy="681990"/>
            <wp:effectExtent l="0" t="0" r="0" b="381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t="-1" b="13754"/>
                    <a:stretch/>
                  </pic:blipFill>
                  <pic:spPr bwMode="auto">
                    <a:xfrm>
                      <a:off x="0" y="0"/>
                      <a:ext cx="5520820" cy="682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7A0C" w:rsidRPr="000313CD" w:rsidRDefault="00047A0C" w:rsidP="004E43A9">
      <w:pPr>
        <w:ind w:left="360"/>
        <w:jc w:val="both"/>
        <w:rPr>
          <w:rFonts w:ascii="Arial" w:hAnsi="Arial" w:cs="Arial"/>
          <w:color w:val="548DD4" w:themeColor="text2" w:themeTint="99"/>
          <w:sz w:val="18"/>
        </w:rPr>
      </w:pPr>
      <w:r w:rsidRPr="000313CD">
        <w:rPr>
          <w:rFonts w:ascii="Arial" w:hAnsi="Arial" w:cs="Arial"/>
          <w:color w:val="548DD4" w:themeColor="text2" w:themeTint="99"/>
          <w:sz w:val="18"/>
        </w:rPr>
        <w:t>Abb. 15</w:t>
      </w:r>
      <w:r w:rsidR="000313CD">
        <w:rPr>
          <w:rFonts w:ascii="Arial" w:hAnsi="Arial" w:cs="Arial"/>
          <w:color w:val="548DD4" w:themeColor="text2" w:themeTint="99"/>
          <w:sz w:val="18"/>
        </w:rPr>
        <w:t xml:space="preserve"> Hyperlink zur Endauswertung</w:t>
      </w:r>
    </w:p>
    <w:p w:rsidR="003053BF" w:rsidRDefault="006078F3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  <w:r>
        <w:rPr>
          <w:noProof/>
        </w:rPr>
        <w:lastRenderedPageBreak/>
        <w:drawing>
          <wp:inline distT="0" distB="0" distL="0" distR="0" wp14:anchorId="41F290E0" wp14:editId="64359A08">
            <wp:extent cx="4769893" cy="2281893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80676" cy="2287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313CD" w:rsidRDefault="00047A0C" w:rsidP="004E43A9">
      <w:pPr>
        <w:ind w:left="360"/>
        <w:jc w:val="both"/>
        <w:rPr>
          <w:rFonts w:ascii="Arial" w:hAnsi="Arial" w:cs="Arial"/>
          <w:color w:val="548DD4" w:themeColor="text2" w:themeTint="99"/>
          <w:sz w:val="18"/>
        </w:rPr>
      </w:pPr>
      <w:r w:rsidRPr="000313CD">
        <w:rPr>
          <w:rFonts w:ascii="Arial" w:hAnsi="Arial" w:cs="Arial"/>
          <w:color w:val="548DD4" w:themeColor="text2" w:themeTint="99"/>
          <w:sz w:val="18"/>
        </w:rPr>
        <w:t xml:space="preserve">Abb. 16 Endauswertung </w:t>
      </w:r>
    </w:p>
    <w:p w:rsidR="00D62062" w:rsidRDefault="00D62062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p w:rsidR="003053BF" w:rsidRDefault="003053BF" w:rsidP="004E43A9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unteren Teil steht Ihnen ein kleines Auswahlfenster zur Verfügung, indem Sie die für Sie relevante Kostenstelle</w:t>
      </w:r>
      <w:r w:rsidR="00991205">
        <w:rPr>
          <w:rFonts w:ascii="Arial" w:hAnsi="Arial" w:cs="Arial"/>
          <w:color w:val="000000" w:themeColor="text1"/>
        </w:rPr>
        <w:t xml:space="preserve"> aus der </w:t>
      </w:r>
      <w:proofErr w:type="spellStart"/>
      <w:r w:rsidR="00991205">
        <w:rPr>
          <w:rFonts w:ascii="Arial" w:hAnsi="Arial" w:cs="Arial"/>
          <w:color w:val="000000" w:themeColor="text1"/>
        </w:rPr>
        <w:t>InEK</w:t>
      </w:r>
      <w:proofErr w:type="spellEnd"/>
      <w:r w:rsidR="00991205">
        <w:rPr>
          <w:rFonts w:ascii="Arial" w:hAnsi="Arial" w:cs="Arial"/>
          <w:color w:val="000000" w:themeColor="text1"/>
        </w:rPr>
        <w:t>-Matrix</w:t>
      </w:r>
      <w:r>
        <w:rPr>
          <w:rFonts w:ascii="Arial" w:hAnsi="Arial" w:cs="Arial"/>
          <w:color w:val="000000" w:themeColor="text1"/>
        </w:rPr>
        <w:t xml:space="preserve"> auswählen können. </w:t>
      </w:r>
      <w:r w:rsidR="00991205">
        <w:rPr>
          <w:rFonts w:ascii="Arial" w:hAnsi="Arial" w:cs="Arial"/>
          <w:color w:val="000000" w:themeColor="text1"/>
        </w:rPr>
        <w:t>Je nach Wahl der Kostenstelle</w:t>
      </w:r>
      <w:r w:rsidR="00D62062">
        <w:rPr>
          <w:rFonts w:ascii="Arial" w:hAnsi="Arial" w:cs="Arial"/>
          <w:color w:val="000000" w:themeColor="text1"/>
        </w:rPr>
        <w:t xml:space="preserve"> </w:t>
      </w:r>
      <w:r w:rsidR="00991205">
        <w:rPr>
          <w:rFonts w:ascii="Arial" w:hAnsi="Arial" w:cs="Arial"/>
          <w:color w:val="000000" w:themeColor="text1"/>
        </w:rPr>
        <w:t>gibt Ihnen das Programm die Werte aus der Gesamterlösmatrix wieder</w:t>
      </w:r>
      <w:r w:rsidR="00D62062">
        <w:rPr>
          <w:rFonts w:ascii="Arial" w:hAnsi="Arial" w:cs="Arial"/>
          <w:color w:val="000000" w:themeColor="text1"/>
        </w:rPr>
        <w:t>, i</w:t>
      </w:r>
      <w:r w:rsidR="00991205">
        <w:rPr>
          <w:rFonts w:ascii="Arial" w:hAnsi="Arial" w:cs="Arial"/>
          <w:color w:val="000000" w:themeColor="text1"/>
        </w:rPr>
        <w:t>m obigen Beispiel die Beträge für die Kostenstelle 5 Anästhesie. Sind Ist-Kosten im Tabellenblatt „Eingabe Ist-Kosten“ eingetragen</w:t>
      </w:r>
      <w:r w:rsidR="00D62062">
        <w:rPr>
          <w:rFonts w:ascii="Arial" w:hAnsi="Arial" w:cs="Arial"/>
          <w:color w:val="000000" w:themeColor="text1"/>
        </w:rPr>
        <w:t>,</w:t>
      </w:r>
      <w:r w:rsidR="00991205">
        <w:rPr>
          <w:rFonts w:ascii="Arial" w:hAnsi="Arial" w:cs="Arial"/>
          <w:color w:val="000000" w:themeColor="text1"/>
        </w:rPr>
        <w:t xml:space="preserve"> werden diese hier angezeigt</w:t>
      </w:r>
      <w:r w:rsidR="00C24769">
        <w:rPr>
          <w:rFonts w:ascii="Arial" w:hAnsi="Arial" w:cs="Arial"/>
          <w:color w:val="000000" w:themeColor="text1"/>
        </w:rPr>
        <w:t xml:space="preserve"> und </w:t>
      </w:r>
      <w:r w:rsidR="005B6F3D">
        <w:rPr>
          <w:rFonts w:ascii="Arial" w:hAnsi="Arial" w:cs="Arial"/>
          <w:color w:val="000000" w:themeColor="text1"/>
        </w:rPr>
        <w:t xml:space="preserve">die </w:t>
      </w:r>
      <w:r w:rsidR="00C24769">
        <w:rPr>
          <w:rFonts w:ascii="Arial" w:hAnsi="Arial" w:cs="Arial"/>
          <w:color w:val="000000" w:themeColor="text1"/>
        </w:rPr>
        <w:t>Differenz ausgegeben.</w:t>
      </w:r>
    </w:p>
    <w:p w:rsidR="000E185B" w:rsidRPr="003053BF" w:rsidRDefault="000E185B" w:rsidP="004E43A9">
      <w:pPr>
        <w:ind w:left="360"/>
        <w:jc w:val="both"/>
        <w:rPr>
          <w:rFonts w:ascii="Arial" w:hAnsi="Arial" w:cs="Arial"/>
          <w:color w:val="000000" w:themeColor="text1"/>
        </w:rPr>
      </w:pPr>
    </w:p>
    <w:p w:rsidR="001C5B0C" w:rsidRPr="001C5B0C" w:rsidRDefault="001C5B0C" w:rsidP="000E185B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b/>
          <w:color w:val="000000" w:themeColor="text1"/>
        </w:rPr>
      </w:pPr>
      <w:r w:rsidRPr="001C5B0C">
        <w:rPr>
          <w:rFonts w:ascii="Arial" w:hAnsi="Arial" w:cs="Arial"/>
          <w:b/>
          <w:color w:val="000000" w:themeColor="text1"/>
        </w:rPr>
        <w:t xml:space="preserve">Hinweise zu Intensiv-, Matrix- und </w:t>
      </w:r>
      <w:proofErr w:type="spellStart"/>
      <w:r w:rsidRPr="001C5B0C">
        <w:rPr>
          <w:rFonts w:ascii="Arial" w:hAnsi="Arial" w:cs="Arial"/>
          <w:b/>
          <w:color w:val="000000" w:themeColor="text1"/>
        </w:rPr>
        <w:t>SOPtool</w:t>
      </w:r>
      <w:proofErr w:type="spellEnd"/>
    </w:p>
    <w:p w:rsidR="001C5B0C" w:rsidRP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 w:rsidRPr="001C5B0C">
        <w:rPr>
          <w:rFonts w:ascii="Arial" w:hAnsi="Arial" w:cs="Arial"/>
          <w:color w:val="000000" w:themeColor="text1"/>
        </w:rPr>
        <w:t xml:space="preserve">Das Intensiv-, das Matrix- und das </w:t>
      </w:r>
      <w:proofErr w:type="spellStart"/>
      <w:r w:rsidRPr="001C5B0C">
        <w:rPr>
          <w:rFonts w:ascii="Arial" w:hAnsi="Arial" w:cs="Arial"/>
          <w:color w:val="000000" w:themeColor="text1"/>
        </w:rPr>
        <w:t>SOPtool</w:t>
      </w:r>
      <w:proofErr w:type="spellEnd"/>
      <w:r w:rsidRPr="001C5B0C">
        <w:rPr>
          <w:rFonts w:ascii="Arial" w:hAnsi="Arial" w:cs="Arial"/>
          <w:color w:val="000000" w:themeColor="text1"/>
        </w:rPr>
        <w:t xml:space="preserve"> können über die Programmoberfläche der Startdatei „Start-BDA.xlsm“ ausgewählt werden. Alle Tools arbeiten in gewohnter Weise im Excel-Format. Inhaltliche Änderungen der Tools wurden in diesem Jahr nicht </w:t>
      </w:r>
      <w:proofErr w:type="spellStart"/>
      <w:r w:rsidRPr="001C5B0C">
        <w:rPr>
          <w:rFonts w:ascii="Arial" w:hAnsi="Arial" w:cs="Arial"/>
          <w:color w:val="000000" w:themeColor="text1"/>
        </w:rPr>
        <w:t>vorge</w:t>
      </w:r>
      <w:proofErr w:type="spellEnd"/>
      <w:r w:rsidRPr="001C5B0C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1C5B0C">
        <w:rPr>
          <w:rFonts w:ascii="Arial" w:hAnsi="Arial" w:cs="Arial"/>
          <w:color w:val="000000" w:themeColor="text1"/>
        </w:rPr>
        <w:t>nommen</w:t>
      </w:r>
      <w:proofErr w:type="spellEnd"/>
      <w:r w:rsidRPr="001C5B0C">
        <w:rPr>
          <w:rFonts w:ascii="Arial" w:hAnsi="Arial" w:cs="Arial"/>
          <w:color w:val="000000" w:themeColor="text1"/>
        </w:rPr>
        <w:t>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Mit dem </w:t>
      </w:r>
      <w:proofErr w:type="spellStart"/>
      <w:r>
        <w:rPr>
          <w:rFonts w:ascii="Arial" w:hAnsi="Arial" w:cs="Arial"/>
          <w:color w:val="000000" w:themeColor="text1"/>
        </w:rPr>
        <w:t>SOPtool</w:t>
      </w:r>
      <w:proofErr w:type="spellEnd"/>
      <w:r>
        <w:rPr>
          <w:rFonts w:ascii="Arial" w:hAnsi="Arial" w:cs="Arial"/>
          <w:color w:val="000000" w:themeColor="text1"/>
        </w:rPr>
        <w:t xml:space="preserve"> ist es </w:t>
      </w:r>
      <w:r w:rsidRPr="00E41F2C">
        <w:rPr>
          <w:rFonts w:ascii="Arial" w:hAnsi="Arial" w:cs="Arial"/>
          <w:color w:val="000000" w:themeColor="text1"/>
        </w:rPr>
        <w:t xml:space="preserve">möglich für den Kostenbereich 5 (Anästhesie) und den Kostenbereich 4 (OP-Bereich) der </w:t>
      </w:r>
      <w:proofErr w:type="spellStart"/>
      <w:r w:rsidRPr="00E41F2C">
        <w:rPr>
          <w:rFonts w:ascii="Arial" w:hAnsi="Arial" w:cs="Arial"/>
          <w:color w:val="000000" w:themeColor="text1"/>
        </w:rPr>
        <w:t>InEK</w:t>
      </w:r>
      <w:proofErr w:type="spellEnd"/>
      <w:r w:rsidRPr="00E41F2C">
        <w:rPr>
          <w:rFonts w:ascii="Arial" w:hAnsi="Arial" w:cs="Arial"/>
          <w:color w:val="000000" w:themeColor="text1"/>
        </w:rPr>
        <w:t xml:space="preserve">-Kalkulationsmatrix Erlösanteile und tatsächliche Kosten </w:t>
      </w:r>
      <w:r>
        <w:rPr>
          <w:rFonts w:ascii="Arial" w:hAnsi="Arial" w:cs="Arial"/>
          <w:color w:val="000000" w:themeColor="text1"/>
        </w:rPr>
        <w:t>pro DRG Fallgruppe gegenüberzustellen und Deckungsbeiträge auszuweisen</w:t>
      </w:r>
      <w:r w:rsidRPr="00E41F2C">
        <w:rPr>
          <w:rFonts w:ascii="Arial" w:hAnsi="Arial" w:cs="Arial"/>
          <w:color w:val="000000" w:themeColor="text1"/>
        </w:rPr>
        <w:t>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Das Intensiv-Tool</w:t>
      </w:r>
      <w:r w:rsidRPr="00883F09">
        <w:rPr>
          <w:rFonts w:ascii="Agfa Rotis Semisans" w:eastAsia="Batang" w:hAnsi="Agfa Rotis Semisans" w:cs="Times New Roman"/>
          <w:lang w:eastAsia="de-DE"/>
        </w:rPr>
        <w:t xml:space="preserve"> </w:t>
      </w:r>
      <w:r w:rsidRPr="00883F09">
        <w:rPr>
          <w:rFonts w:ascii="Arial" w:hAnsi="Arial" w:cs="Arial"/>
          <w:color w:val="000000" w:themeColor="text1"/>
        </w:rPr>
        <w:t>ermöglicht die Berechnung der tatsächlichen Kosten auf der Intensivstation als Mischkalkulation.</w:t>
      </w:r>
      <w:r w:rsidRPr="00883F09">
        <w:rPr>
          <w:rFonts w:ascii="Agfa Rotis Semisans" w:eastAsia="Batang" w:hAnsi="Agfa Rotis Semisans" w:cs="Times New Roman"/>
          <w:lang w:eastAsia="de-DE"/>
        </w:rPr>
        <w:t xml:space="preserve"> </w:t>
      </w:r>
      <w:r w:rsidRPr="00883F09">
        <w:rPr>
          <w:rFonts w:ascii="Arial" w:eastAsia="Batang" w:hAnsi="Arial" w:cs="Arial"/>
          <w:lang w:eastAsia="de-DE"/>
        </w:rPr>
        <w:t xml:space="preserve">Durch </w:t>
      </w:r>
      <w:r>
        <w:rPr>
          <w:rFonts w:ascii="Arial" w:hAnsi="Arial" w:cs="Arial"/>
          <w:color w:val="000000" w:themeColor="text1"/>
        </w:rPr>
        <w:t>den</w:t>
      </w:r>
      <w:r w:rsidRPr="00883F09">
        <w:rPr>
          <w:rFonts w:ascii="Arial" w:hAnsi="Arial" w:cs="Arial"/>
          <w:color w:val="000000" w:themeColor="text1"/>
        </w:rPr>
        <w:t xml:space="preserve"> Vergleich der errechneten Erlösanteile mit den tatsächlichen K</w:t>
      </w:r>
      <w:r>
        <w:rPr>
          <w:rFonts w:ascii="Arial" w:hAnsi="Arial" w:cs="Arial"/>
          <w:color w:val="000000" w:themeColor="text1"/>
        </w:rPr>
        <w:t>osten ergibt sich der Deckungsbeitrag</w:t>
      </w:r>
      <w:r w:rsidRPr="00883F09">
        <w:rPr>
          <w:rFonts w:ascii="Arial" w:hAnsi="Arial" w:cs="Arial"/>
          <w:color w:val="000000" w:themeColor="text1"/>
        </w:rPr>
        <w:t xml:space="preserve"> einer DRG Fallgruppe für den Kostenbereich 2 (Intensivstation) der </w:t>
      </w:r>
      <w:bookmarkStart w:id="1" w:name="OLE_LINK1"/>
      <w:bookmarkStart w:id="2" w:name="OLE_LINK2"/>
      <w:proofErr w:type="spellStart"/>
      <w:r w:rsidRPr="00883F09">
        <w:rPr>
          <w:rFonts w:ascii="Arial" w:hAnsi="Arial" w:cs="Arial"/>
          <w:color w:val="000000" w:themeColor="text1"/>
        </w:rPr>
        <w:t>InEK</w:t>
      </w:r>
      <w:proofErr w:type="spellEnd"/>
      <w:r w:rsidRPr="00883F09">
        <w:rPr>
          <w:rFonts w:ascii="Arial" w:hAnsi="Arial" w:cs="Arial"/>
          <w:color w:val="000000" w:themeColor="text1"/>
        </w:rPr>
        <w:t>-Kalkulationsmatrix</w:t>
      </w:r>
      <w:bookmarkEnd w:id="1"/>
      <w:bookmarkEnd w:id="2"/>
      <w:r w:rsidRPr="00883F09">
        <w:rPr>
          <w:rFonts w:ascii="Arial" w:hAnsi="Arial" w:cs="Arial"/>
          <w:color w:val="000000" w:themeColor="text1"/>
        </w:rPr>
        <w:t>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Das Matrixtool</w:t>
      </w:r>
      <w:r w:rsidRPr="004D10C2">
        <w:rPr>
          <w:rFonts w:ascii="Arial" w:hAnsi="Arial" w:cs="Arial"/>
          <w:color w:val="000000" w:themeColor="text1"/>
        </w:rPr>
        <w:t xml:space="preserve"> erlaubt eine Vielzahl von grafischen Auswertungen der Ergebnis</w:t>
      </w:r>
      <w:r>
        <w:rPr>
          <w:rFonts w:ascii="Arial" w:hAnsi="Arial" w:cs="Arial"/>
          <w:color w:val="000000" w:themeColor="text1"/>
        </w:rPr>
        <w:t>se aus d</w:t>
      </w:r>
      <w:r w:rsidR="00481BEA">
        <w:rPr>
          <w:rFonts w:ascii="Arial" w:hAnsi="Arial" w:cs="Arial"/>
          <w:color w:val="000000" w:themeColor="text1"/>
        </w:rPr>
        <w:t xml:space="preserve">em </w:t>
      </w:r>
      <w:proofErr w:type="spellStart"/>
      <w:r w:rsidR="00481BEA">
        <w:rPr>
          <w:rFonts w:ascii="Arial" w:hAnsi="Arial" w:cs="Arial"/>
          <w:color w:val="000000" w:themeColor="text1"/>
        </w:rPr>
        <w:t>SOPtool</w:t>
      </w:r>
      <w:proofErr w:type="spellEnd"/>
      <w:r w:rsidRPr="004D10C2">
        <w:rPr>
          <w:rFonts w:ascii="Arial" w:hAnsi="Arial" w:cs="Arial"/>
          <w:color w:val="000000" w:themeColor="text1"/>
        </w:rPr>
        <w:t xml:space="preserve">. </w:t>
      </w:r>
    </w:p>
    <w:p w:rsidR="001C5B0C" w:rsidRPr="004D10C2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Detaillierte Anwendungshinweise findet der Anwender im jeweiligen Tool.</w:t>
      </w:r>
    </w:p>
    <w:p w:rsidR="003053BF" w:rsidRDefault="003053BF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p w:rsidR="003053BF" w:rsidRPr="00764D5C" w:rsidRDefault="003053BF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sectPr w:rsidR="003053BF" w:rsidRPr="00764D5C" w:rsidSect="00CC382E">
      <w:headerReference w:type="default" r:id="rId24"/>
      <w:footerReference w:type="default" r:id="rId2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18E" w:rsidRDefault="009D618E" w:rsidP="00D71AEA">
      <w:pPr>
        <w:spacing w:after="0" w:line="240" w:lineRule="auto"/>
      </w:pPr>
      <w:r>
        <w:separator/>
      </w:r>
    </w:p>
  </w:endnote>
  <w:endnote w:type="continuationSeparator" w:id="0">
    <w:p w:rsidR="009D618E" w:rsidRDefault="009D618E" w:rsidP="00D71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fa Rotis Semisans">
    <w:altName w:val="Segoe Script"/>
    <w:charset w:val="00"/>
    <w:family w:val="swiss"/>
    <w:pitch w:val="variable"/>
    <w:sig w:usb0="00000001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0313"/>
      <w:docPartObj>
        <w:docPartGallery w:val="Page Numbers (Bottom of Page)"/>
        <w:docPartUnique/>
      </w:docPartObj>
    </w:sdtPr>
    <w:sdtEndPr/>
    <w:sdtContent>
      <w:p w:rsidR="001C5B0C" w:rsidRDefault="006F5B08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B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5B0C" w:rsidRDefault="001C5B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18E" w:rsidRDefault="009D618E" w:rsidP="00D71AEA">
      <w:pPr>
        <w:spacing w:after="0" w:line="240" w:lineRule="auto"/>
      </w:pPr>
      <w:r>
        <w:separator/>
      </w:r>
    </w:p>
  </w:footnote>
  <w:footnote w:type="continuationSeparator" w:id="0">
    <w:p w:rsidR="009D618E" w:rsidRDefault="009D618E" w:rsidP="00D71AEA">
      <w:pPr>
        <w:spacing w:after="0" w:line="240" w:lineRule="auto"/>
      </w:pPr>
      <w:r>
        <w:continuationSeparator/>
      </w:r>
    </w:p>
  </w:footnote>
  <w:footnote w:id="1">
    <w:p w:rsidR="001C5B0C" w:rsidRDefault="001C5B0C">
      <w:pPr>
        <w:pStyle w:val="Funotentext"/>
      </w:pPr>
      <w:r>
        <w:rPr>
          <w:rStyle w:val="Funotenzeichen"/>
        </w:rPr>
        <w:footnoteRef/>
      </w:r>
      <w:r>
        <w:t xml:space="preserve"> www.g-drg.de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B0C" w:rsidRDefault="00BB0987" w:rsidP="00BB0987">
    <w:pPr>
      <w:pStyle w:val="Kopfzeile"/>
      <w:tabs>
        <w:tab w:val="left" w:pos="7891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1C5B0C">
      <w:rPr>
        <w:rFonts w:ascii="Arial" w:hAnsi="Arial" w:cs="Arial"/>
        <w:b/>
      </w:rPr>
      <w:t xml:space="preserve"> BDA-Tools </w:t>
    </w:r>
    <w:r w:rsidR="00BF06DF">
      <w:rPr>
        <w:rFonts w:ascii="Arial" w:hAnsi="Arial" w:cs="Arial"/>
        <w:b/>
      </w:rPr>
      <w:t>2019</w:t>
    </w:r>
    <w:r w:rsidR="001C5B0C" w:rsidRPr="000D3FC2">
      <w:rPr>
        <w:rFonts w:ascii="Arial" w:hAnsi="Arial" w:cs="Arial"/>
        <w:b/>
      </w:rPr>
      <w:t xml:space="preserve"> – Anästhesie &amp; Intensivmedizin</w:t>
    </w:r>
    <w:r>
      <w:rPr>
        <w:rFonts w:ascii="Arial" w:hAnsi="Arial" w:cs="Arial"/>
        <w:b/>
      </w:rPr>
      <w:tab/>
    </w:r>
  </w:p>
  <w:p w:rsidR="00BB0987" w:rsidRPr="000D3FC2" w:rsidRDefault="00BB0987" w:rsidP="00BB0987">
    <w:pPr>
      <w:pStyle w:val="Kopfzeile"/>
      <w:tabs>
        <w:tab w:val="left" w:pos="7891"/>
      </w:tabs>
      <w:rPr>
        <w:rFonts w:ascii="Arial" w:hAnsi="Arial" w:cs="Arial"/>
        <w:b/>
      </w:rPr>
    </w:pPr>
  </w:p>
  <w:p w:rsidR="001C5B0C" w:rsidRDefault="001C5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D12E2"/>
    <w:multiLevelType w:val="multilevel"/>
    <w:tmpl w:val="82768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EF5AB6"/>
    <w:multiLevelType w:val="multilevel"/>
    <w:tmpl w:val="90905A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6AC0705"/>
    <w:multiLevelType w:val="hybridMultilevel"/>
    <w:tmpl w:val="14B48592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76792"/>
    <w:multiLevelType w:val="hybridMultilevel"/>
    <w:tmpl w:val="EB50D932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D1257"/>
    <w:multiLevelType w:val="multilevel"/>
    <w:tmpl w:val="A8D0A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F181018"/>
    <w:multiLevelType w:val="multilevel"/>
    <w:tmpl w:val="377E4AD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5214041F"/>
    <w:multiLevelType w:val="multilevel"/>
    <w:tmpl w:val="B05E9E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592235F8"/>
    <w:multiLevelType w:val="multilevel"/>
    <w:tmpl w:val="BD40BD9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9AE38D3"/>
    <w:multiLevelType w:val="hybridMultilevel"/>
    <w:tmpl w:val="83DC2B78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27436"/>
    <w:multiLevelType w:val="hybridMultilevel"/>
    <w:tmpl w:val="3222B74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8F10A0"/>
    <w:multiLevelType w:val="hybridMultilevel"/>
    <w:tmpl w:val="14B8388C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974D7"/>
    <w:multiLevelType w:val="hybridMultilevel"/>
    <w:tmpl w:val="DF30FA08"/>
    <w:lvl w:ilvl="0" w:tplc="103A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F71B4C"/>
    <w:multiLevelType w:val="hybridMultilevel"/>
    <w:tmpl w:val="E8E2CB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1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5E6"/>
    <w:rsid w:val="00004CA6"/>
    <w:rsid w:val="00013447"/>
    <w:rsid w:val="00023A9A"/>
    <w:rsid w:val="000313CD"/>
    <w:rsid w:val="0003599A"/>
    <w:rsid w:val="0003684F"/>
    <w:rsid w:val="00047A0C"/>
    <w:rsid w:val="00047AAE"/>
    <w:rsid w:val="00080732"/>
    <w:rsid w:val="0009227D"/>
    <w:rsid w:val="0009788D"/>
    <w:rsid w:val="000B3654"/>
    <w:rsid w:val="000B385A"/>
    <w:rsid w:val="000B5E8A"/>
    <w:rsid w:val="000C45E3"/>
    <w:rsid w:val="000D3FC2"/>
    <w:rsid w:val="000E185B"/>
    <w:rsid w:val="000E2F6D"/>
    <w:rsid w:val="000F381D"/>
    <w:rsid w:val="001400A8"/>
    <w:rsid w:val="00144827"/>
    <w:rsid w:val="00166D04"/>
    <w:rsid w:val="001743E4"/>
    <w:rsid w:val="00177867"/>
    <w:rsid w:val="001A06A1"/>
    <w:rsid w:val="001C0AED"/>
    <w:rsid w:val="001C5B0C"/>
    <w:rsid w:val="001D1168"/>
    <w:rsid w:val="001D1DDC"/>
    <w:rsid w:val="001D2AC6"/>
    <w:rsid w:val="001E05DF"/>
    <w:rsid w:val="001E79B8"/>
    <w:rsid w:val="001F1838"/>
    <w:rsid w:val="001F71EC"/>
    <w:rsid w:val="001F7823"/>
    <w:rsid w:val="00213CB9"/>
    <w:rsid w:val="00215D56"/>
    <w:rsid w:val="0024029B"/>
    <w:rsid w:val="002425D7"/>
    <w:rsid w:val="0024498C"/>
    <w:rsid w:val="0025513A"/>
    <w:rsid w:val="00273C2B"/>
    <w:rsid w:val="00280192"/>
    <w:rsid w:val="00281246"/>
    <w:rsid w:val="0029403B"/>
    <w:rsid w:val="002B0F3C"/>
    <w:rsid w:val="002C10C6"/>
    <w:rsid w:val="002C29D1"/>
    <w:rsid w:val="002C6BC5"/>
    <w:rsid w:val="002D1BBC"/>
    <w:rsid w:val="002D522A"/>
    <w:rsid w:val="002D52CB"/>
    <w:rsid w:val="002E5BCB"/>
    <w:rsid w:val="002F04CE"/>
    <w:rsid w:val="002F7D91"/>
    <w:rsid w:val="00300EF2"/>
    <w:rsid w:val="003053BF"/>
    <w:rsid w:val="00307173"/>
    <w:rsid w:val="003074A7"/>
    <w:rsid w:val="00312BDE"/>
    <w:rsid w:val="003130EB"/>
    <w:rsid w:val="00322C7A"/>
    <w:rsid w:val="003419D8"/>
    <w:rsid w:val="003421D2"/>
    <w:rsid w:val="003610DC"/>
    <w:rsid w:val="003670BA"/>
    <w:rsid w:val="003730BB"/>
    <w:rsid w:val="003A4035"/>
    <w:rsid w:val="003A419C"/>
    <w:rsid w:val="003A55D3"/>
    <w:rsid w:val="003C4032"/>
    <w:rsid w:val="003D46B6"/>
    <w:rsid w:val="003D4BC7"/>
    <w:rsid w:val="003F1758"/>
    <w:rsid w:val="003F2417"/>
    <w:rsid w:val="003F472C"/>
    <w:rsid w:val="003F545A"/>
    <w:rsid w:val="00410456"/>
    <w:rsid w:val="00413647"/>
    <w:rsid w:val="00415B24"/>
    <w:rsid w:val="00417BEF"/>
    <w:rsid w:val="004225F8"/>
    <w:rsid w:val="004229E8"/>
    <w:rsid w:val="0043325D"/>
    <w:rsid w:val="00437EAE"/>
    <w:rsid w:val="00443DF1"/>
    <w:rsid w:val="0045588D"/>
    <w:rsid w:val="00475F7C"/>
    <w:rsid w:val="00476BE8"/>
    <w:rsid w:val="00481BEA"/>
    <w:rsid w:val="004A1505"/>
    <w:rsid w:val="004B0EEE"/>
    <w:rsid w:val="004B1439"/>
    <w:rsid w:val="004B33B1"/>
    <w:rsid w:val="004B7AD2"/>
    <w:rsid w:val="004C3074"/>
    <w:rsid w:val="004C5862"/>
    <w:rsid w:val="004C6408"/>
    <w:rsid w:val="004C6CD5"/>
    <w:rsid w:val="004C70E9"/>
    <w:rsid w:val="004D6340"/>
    <w:rsid w:val="004E0F78"/>
    <w:rsid w:val="004E43A9"/>
    <w:rsid w:val="004F0423"/>
    <w:rsid w:val="0050139B"/>
    <w:rsid w:val="00503706"/>
    <w:rsid w:val="00515E4B"/>
    <w:rsid w:val="00527820"/>
    <w:rsid w:val="00547D39"/>
    <w:rsid w:val="00574F87"/>
    <w:rsid w:val="00576039"/>
    <w:rsid w:val="00582001"/>
    <w:rsid w:val="005839BC"/>
    <w:rsid w:val="00585E9D"/>
    <w:rsid w:val="005A63EF"/>
    <w:rsid w:val="005B6F3D"/>
    <w:rsid w:val="005E55DE"/>
    <w:rsid w:val="00601E14"/>
    <w:rsid w:val="006078F3"/>
    <w:rsid w:val="00614FAC"/>
    <w:rsid w:val="00622F62"/>
    <w:rsid w:val="0064564D"/>
    <w:rsid w:val="00645E8C"/>
    <w:rsid w:val="00663DF9"/>
    <w:rsid w:val="00665E11"/>
    <w:rsid w:val="0067676F"/>
    <w:rsid w:val="00683E30"/>
    <w:rsid w:val="006C034C"/>
    <w:rsid w:val="006C17FA"/>
    <w:rsid w:val="006D3A40"/>
    <w:rsid w:val="006D4D3B"/>
    <w:rsid w:val="006F2C96"/>
    <w:rsid w:val="006F580D"/>
    <w:rsid w:val="006F5B08"/>
    <w:rsid w:val="00700112"/>
    <w:rsid w:val="00704FF4"/>
    <w:rsid w:val="00716F87"/>
    <w:rsid w:val="00717EF1"/>
    <w:rsid w:val="007354C6"/>
    <w:rsid w:val="00735D85"/>
    <w:rsid w:val="007376CC"/>
    <w:rsid w:val="007453A5"/>
    <w:rsid w:val="00764D5C"/>
    <w:rsid w:val="0076696D"/>
    <w:rsid w:val="0077616B"/>
    <w:rsid w:val="007769EF"/>
    <w:rsid w:val="00791470"/>
    <w:rsid w:val="007A12F6"/>
    <w:rsid w:val="007A6DE1"/>
    <w:rsid w:val="007A6E52"/>
    <w:rsid w:val="007A7781"/>
    <w:rsid w:val="007B0409"/>
    <w:rsid w:val="007B207D"/>
    <w:rsid w:val="007B76E5"/>
    <w:rsid w:val="007E0CCA"/>
    <w:rsid w:val="007E46E7"/>
    <w:rsid w:val="007F0754"/>
    <w:rsid w:val="007F6E02"/>
    <w:rsid w:val="008003CA"/>
    <w:rsid w:val="00806F32"/>
    <w:rsid w:val="008105B8"/>
    <w:rsid w:val="0082368D"/>
    <w:rsid w:val="008312DB"/>
    <w:rsid w:val="00836307"/>
    <w:rsid w:val="008569F1"/>
    <w:rsid w:val="00862457"/>
    <w:rsid w:val="008702FB"/>
    <w:rsid w:val="00870556"/>
    <w:rsid w:val="0088096B"/>
    <w:rsid w:val="00896195"/>
    <w:rsid w:val="008B2155"/>
    <w:rsid w:val="008D66D6"/>
    <w:rsid w:val="008F4141"/>
    <w:rsid w:val="009062A7"/>
    <w:rsid w:val="009337A5"/>
    <w:rsid w:val="00936AB8"/>
    <w:rsid w:val="0096439A"/>
    <w:rsid w:val="00982E83"/>
    <w:rsid w:val="00990500"/>
    <w:rsid w:val="00991205"/>
    <w:rsid w:val="00997984"/>
    <w:rsid w:val="009A5647"/>
    <w:rsid w:val="009A6539"/>
    <w:rsid w:val="009A7C00"/>
    <w:rsid w:val="009D618E"/>
    <w:rsid w:val="009D6D97"/>
    <w:rsid w:val="009E26B0"/>
    <w:rsid w:val="009E5518"/>
    <w:rsid w:val="009E63EE"/>
    <w:rsid w:val="009F3D6E"/>
    <w:rsid w:val="00A11D77"/>
    <w:rsid w:val="00A131E9"/>
    <w:rsid w:val="00A171B4"/>
    <w:rsid w:val="00A17336"/>
    <w:rsid w:val="00A25471"/>
    <w:rsid w:val="00A33BF5"/>
    <w:rsid w:val="00A509C2"/>
    <w:rsid w:val="00A54704"/>
    <w:rsid w:val="00A54A3C"/>
    <w:rsid w:val="00A57403"/>
    <w:rsid w:val="00A631EF"/>
    <w:rsid w:val="00A70030"/>
    <w:rsid w:val="00A7368D"/>
    <w:rsid w:val="00A76C1A"/>
    <w:rsid w:val="00AB4ACF"/>
    <w:rsid w:val="00AB582F"/>
    <w:rsid w:val="00AC1D4A"/>
    <w:rsid w:val="00AD33B8"/>
    <w:rsid w:val="00AE3C56"/>
    <w:rsid w:val="00AF234A"/>
    <w:rsid w:val="00AF3817"/>
    <w:rsid w:val="00AF3D9A"/>
    <w:rsid w:val="00AF46F6"/>
    <w:rsid w:val="00B109C2"/>
    <w:rsid w:val="00B119B3"/>
    <w:rsid w:val="00B220C4"/>
    <w:rsid w:val="00B42CE0"/>
    <w:rsid w:val="00B44B80"/>
    <w:rsid w:val="00B61656"/>
    <w:rsid w:val="00B62929"/>
    <w:rsid w:val="00B6344A"/>
    <w:rsid w:val="00B654EB"/>
    <w:rsid w:val="00B706D4"/>
    <w:rsid w:val="00B81684"/>
    <w:rsid w:val="00B9477F"/>
    <w:rsid w:val="00BA2BA4"/>
    <w:rsid w:val="00BB0987"/>
    <w:rsid w:val="00BB1FED"/>
    <w:rsid w:val="00BD0401"/>
    <w:rsid w:val="00BE5E17"/>
    <w:rsid w:val="00BF06DF"/>
    <w:rsid w:val="00C07B11"/>
    <w:rsid w:val="00C2347D"/>
    <w:rsid w:val="00C24769"/>
    <w:rsid w:val="00C26500"/>
    <w:rsid w:val="00C3462D"/>
    <w:rsid w:val="00C42F1F"/>
    <w:rsid w:val="00C45422"/>
    <w:rsid w:val="00C46953"/>
    <w:rsid w:val="00C51360"/>
    <w:rsid w:val="00C54D1F"/>
    <w:rsid w:val="00C55841"/>
    <w:rsid w:val="00C6023B"/>
    <w:rsid w:val="00C62D84"/>
    <w:rsid w:val="00CC37DA"/>
    <w:rsid w:val="00CC382E"/>
    <w:rsid w:val="00CD539A"/>
    <w:rsid w:val="00D163A7"/>
    <w:rsid w:val="00D40AB1"/>
    <w:rsid w:val="00D50A32"/>
    <w:rsid w:val="00D5312A"/>
    <w:rsid w:val="00D62062"/>
    <w:rsid w:val="00D63661"/>
    <w:rsid w:val="00D71AEA"/>
    <w:rsid w:val="00D7284A"/>
    <w:rsid w:val="00D72B2E"/>
    <w:rsid w:val="00D74D4B"/>
    <w:rsid w:val="00D77623"/>
    <w:rsid w:val="00D81E0A"/>
    <w:rsid w:val="00D8326A"/>
    <w:rsid w:val="00D84710"/>
    <w:rsid w:val="00D94BEB"/>
    <w:rsid w:val="00DA12E9"/>
    <w:rsid w:val="00DC2B44"/>
    <w:rsid w:val="00DD3DED"/>
    <w:rsid w:val="00DE10E0"/>
    <w:rsid w:val="00DE163D"/>
    <w:rsid w:val="00DE6936"/>
    <w:rsid w:val="00DF4A00"/>
    <w:rsid w:val="00E020DF"/>
    <w:rsid w:val="00E0686C"/>
    <w:rsid w:val="00E14CCD"/>
    <w:rsid w:val="00E243A1"/>
    <w:rsid w:val="00E327DA"/>
    <w:rsid w:val="00E35761"/>
    <w:rsid w:val="00E4078B"/>
    <w:rsid w:val="00E41A58"/>
    <w:rsid w:val="00E5726E"/>
    <w:rsid w:val="00E8502C"/>
    <w:rsid w:val="00EA0F0D"/>
    <w:rsid w:val="00EB6112"/>
    <w:rsid w:val="00EC560F"/>
    <w:rsid w:val="00ED0987"/>
    <w:rsid w:val="00ED2336"/>
    <w:rsid w:val="00ED511B"/>
    <w:rsid w:val="00EF0405"/>
    <w:rsid w:val="00EF55E6"/>
    <w:rsid w:val="00EF5FCE"/>
    <w:rsid w:val="00EF761F"/>
    <w:rsid w:val="00F006DD"/>
    <w:rsid w:val="00F04111"/>
    <w:rsid w:val="00F05086"/>
    <w:rsid w:val="00F16F88"/>
    <w:rsid w:val="00F31D7D"/>
    <w:rsid w:val="00F50ADD"/>
    <w:rsid w:val="00F55920"/>
    <w:rsid w:val="00F56101"/>
    <w:rsid w:val="00FA691C"/>
    <w:rsid w:val="00FD0088"/>
    <w:rsid w:val="00FD0D89"/>
    <w:rsid w:val="00FD2DAC"/>
    <w:rsid w:val="00FE0531"/>
    <w:rsid w:val="00FE119E"/>
    <w:rsid w:val="00FE75D5"/>
    <w:rsid w:val="00FF0BF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4065B2EF-DF97-4314-8C36-5AEBF4C8F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382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F55E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00A8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1400A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C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D7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1AEA"/>
  </w:style>
  <w:style w:type="paragraph" w:styleId="Fuzeile">
    <w:name w:val="footer"/>
    <w:basedOn w:val="Standard"/>
    <w:link w:val="FuzeileZchn"/>
    <w:uiPriority w:val="99"/>
    <w:unhideWhenUsed/>
    <w:rsid w:val="00D7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1AEA"/>
  </w:style>
  <w:style w:type="table" w:styleId="Tabellenraster">
    <w:name w:val="Table Grid"/>
    <w:basedOn w:val="NormaleTabelle"/>
    <w:uiPriority w:val="59"/>
    <w:rsid w:val="00CC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4D634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D634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D6340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F78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F7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F782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F78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F7823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D8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1F7347-8981-436E-884A-1E2434C04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GlaxoSmithKline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 Mair</dc:creator>
  <cp:lastModifiedBy>Helmut Saathoff</cp:lastModifiedBy>
  <cp:revision>2</cp:revision>
  <cp:lastPrinted>2012-03-09T17:01:00Z</cp:lastPrinted>
  <dcterms:created xsi:type="dcterms:W3CDTF">2019-03-08T08:44:00Z</dcterms:created>
  <dcterms:modified xsi:type="dcterms:W3CDTF">2019-03-08T08:44:00Z</dcterms:modified>
</cp:coreProperties>
</file>